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6870D9C" w14:textId="6651524B" w:rsidR="00933394" w:rsidRDefault="00933394" w:rsidP="00214162">
      <w:pPr>
        <w:jc w:val="right"/>
      </w:pPr>
    </w:p>
    <w:p w14:paraId="66221740" w14:textId="2890775C" w:rsidR="00933394" w:rsidRDefault="00933394" w:rsidP="00214162">
      <w:pPr>
        <w:jc w:val="right"/>
      </w:pPr>
    </w:p>
    <w:p w14:paraId="44E2DC93" w14:textId="42182F99" w:rsidR="00933394" w:rsidRDefault="00933394" w:rsidP="001F54D9">
      <w:pPr>
        <w:jc w:val="right"/>
      </w:pPr>
    </w:p>
    <w:p w14:paraId="55CC7080" w14:textId="6B494E57" w:rsidR="00107CF7" w:rsidRPr="00C5663F" w:rsidRDefault="005B2AA5" w:rsidP="00317F85">
      <w:pPr>
        <w:pStyle w:val="Heading1"/>
        <w:rPr>
          <w:color w:val="005EB8"/>
          <w:sz w:val="36"/>
          <w:szCs w:val="36"/>
        </w:rPr>
      </w:pPr>
      <w:bookmarkStart w:id="0" w:name="Title"/>
      <w:r w:rsidRPr="00C5663F">
        <w:rPr>
          <w:color w:val="005EB8"/>
          <w:sz w:val="36"/>
          <w:szCs w:val="36"/>
        </w:rPr>
        <w:t xml:space="preserve">South East </w:t>
      </w:r>
      <w:r w:rsidR="00317F85" w:rsidRPr="00536AA1">
        <w:rPr>
          <w:color w:val="005EB8"/>
          <w:sz w:val="36"/>
          <w:szCs w:val="36"/>
        </w:rPr>
        <w:fldChar w:fldCharType="begin"/>
      </w:r>
      <w:r w:rsidR="00317F85" w:rsidRPr="00536AA1">
        <w:rPr>
          <w:color w:val="005EB8"/>
          <w:sz w:val="36"/>
          <w:szCs w:val="36"/>
        </w:rPr>
        <w:instrText xml:space="preserve"> TITLE  \* FirstCap  \* MERGEFORMAT </w:instrText>
      </w:r>
      <w:r w:rsidR="00317F85" w:rsidRPr="00536AA1">
        <w:rPr>
          <w:color w:val="005EB8"/>
          <w:sz w:val="36"/>
          <w:szCs w:val="36"/>
        </w:rPr>
        <w:fldChar w:fldCharType="end"/>
      </w:r>
      <w:r w:rsidR="001A03A4">
        <w:rPr>
          <w:color w:val="005EB8"/>
          <w:sz w:val="36"/>
          <w:szCs w:val="36"/>
        </w:rPr>
        <w:t xml:space="preserve">Pathology Apprenticeship Training Grant </w:t>
      </w:r>
      <w:r w:rsidRPr="00C5663F">
        <w:rPr>
          <w:color w:val="005EB8"/>
          <w:sz w:val="36"/>
          <w:szCs w:val="36"/>
        </w:rPr>
        <w:t xml:space="preserve">Funding </w:t>
      </w:r>
      <w:r w:rsidR="00E739F9">
        <w:rPr>
          <w:color w:val="005EB8"/>
          <w:sz w:val="36"/>
          <w:szCs w:val="36"/>
        </w:rPr>
        <w:t>2024/25</w:t>
      </w:r>
    </w:p>
    <w:bookmarkEnd w:id="0"/>
    <w:p w14:paraId="4C1514C2" w14:textId="0E7BF5E9" w:rsidR="0036112F" w:rsidRDefault="0036112F" w:rsidP="0036112F">
      <w:pPr>
        <w:pStyle w:val="Heading2"/>
      </w:pPr>
      <w:r>
        <w:t xml:space="preserve">Information for NHS organisations on how to access this funding, including the application </w:t>
      </w:r>
      <w:r w:rsidR="00A9515C">
        <w:t>process.</w:t>
      </w:r>
    </w:p>
    <w:p w14:paraId="2D9D6715" w14:textId="3393650B" w:rsidR="0036112F" w:rsidRDefault="001B2A57" w:rsidP="00107CF7">
      <w:r>
        <w:rPr>
          <w:noProof/>
        </w:rPr>
        <mc:AlternateContent>
          <mc:Choice Requires="wps">
            <w:drawing>
              <wp:anchor distT="0" distB="0" distL="114300" distR="114300" simplePos="0" relativeHeight="251658240" behindDoc="0" locked="0" layoutInCell="1" allowOverlap="1" wp14:anchorId="0694FA83" wp14:editId="1603985D">
                <wp:simplePos x="0" y="0"/>
                <wp:positionH relativeFrom="margin">
                  <wp:align>left</wp:align>
                </wp:positionH>
                <wp:positionV relativeFrom="paragraph">
                  <wp:posOffset>685800</wp:posOffset>
                </wp:positionV>
                <wp:extent cx="6461760" cy="6449695"/>
                <wp:effectExtent l="0" t="0" r="15240" b="27305"/>
                <wp:wrapSquare wrapText="bothSides"/>
                <wp:docPr id="1" name="Text Box 1"/>
                <wp:cNvGraphicFramePr/>
                <a:graphic xmlns:a="http://schemas.openxmlformats.org/drawingml/2006/main">
                  <a:graphicData uri="http://schemas.microsoft.com/office/word/2010/wordprocessingShape">
                    <wps:wsp>
                      <wps:cNvSpPr txBox="1"/>
                      <wps:spPr>
                        <a:xfrm>
                          <a:off x="0" y="0"/>
                          <a:ext cx="6461760" cy="6449695"/>
                        </a:xfrm>
                        <a:prstGeom prst="rect">
                          <a:avLst/>
                        </a:prstGeom>
                        <a:noFill/>
                        <a:ln w="19050">
                          <a:solidFill>
                            <a:srgbClr val="0070C0"/>
                          </a:solidFill>
                        </a:ln>
                      </wps:spPr>
                      <wps:txbx>
                        <w:txbxContent>
                          <w:p w14:paraId="552B6A63" w14:textId="77777777" w:rsidR="0036112F" w:rsidRDefault="0036112F" w:rsidP="0036112F">
                            <w:pPr>
                              <w:rPr>
                                <w:b/>
                                <w:bCs/>
                                <w:color w:val="00A9CE"/>
                                <w:sz w:val="36"/>
                                <w:szCs w:val="36"/>
                              </w:rPr>
                            </w:pPr>
                            <w:r w:rsidRPr="0068698D">
                              <w:rPr>
                                <w:b/>
                                <w:bCs/>
                                <w:color w:val="00A9CE"/>
                                <w:sz w:val="36"/>
                                <w:szCs w:val="36"/>
                              </w:rPr>
                              <w:t>Key Messages</w:t>
                            </w:r>
                          </w:p>
                          <w:p w14:paraId="3F2DC9E4" w14:textId="77777777" w:rsidR="00F95337" w:rsidRDefault="00F95337" w:rsidP="0036112F">
                            <w:pPr>
                              <w:rPr>
                                <w:b/>
                                <w:bCs/>
                                <w:color w:val="00A9CE"/>
                                <w:sz w:val="36"/>
                                <w:szCs w:val="36"/>
                              </w:rPr>
                            </w:pPr>
                          </w:p>
                          <w:p w14:paraId="00D9CC46" w14:textId="6597CE10" w:rsidR="009D4078" w:rsidRPr="008E6B8C" w:rsidRDefault="00C95AED" w:rsidP="009D4078">
                            <w:r w:rsidRPr="008E6B8C">
                              <w:t xml:space="preserve">This document details the 2024/25 offer for </w:t>
                            </w:r>
                            <w:r w:rsidR="00FD7AFC" w:rsidRPr="008E6B8C">
                              <w:rPr>
                                <w:rFonts w:cs="Arial"/>
                                <w:lang w:val="en-US"/>
                              </w:rPr>
                              <w:t>Pathology Apprenticeship training grants</w:t>
                            </w:r>
                            <w:r w:rsidRPr="008E6B8C">
                              <w:rPr>
                                <w:rFonts w:cs="Arial"/>
                                <w:color w:val="1C1C1C"/>
                                <w:lang w:val="en-US"/>
                              </w:rPr>
                              <w:t>.</w:t>
                            </w:r>
                          </w:p>
                          <w:p w14:paraId="7D9D41C3" w14:textId="77777777" w:rsidR="0036112F" w:rsidRPr="008E6B8C" w:rsidRDefault="0036112F" w:rsidP="0036112F">
                            <w:pPr>
                              <w:rPr>
                                <w:rFonts w:cs="Arial"/>
                              </w:rPr>
                            </w:pPr>
                          </w:p>
                          <w:p w14:paraId="0C73BFB0" w14:textId="2A359504" w:rsidR="0036112F" w:rsidRPr="008E6B8C" w:rsidRDefault="0036112F" w:rsidP="0036112F">
                            <w:pPr>
                              <w:rPr>
                                <w:rFonts w:cs="Arial"/>
                                <w:color w:val="1C1C1C"/>
                              </w:rPr>
                            </w:pPr>
                            <w:r w:rsidRPr="008E6B8C">
                              <w:rPr>
                                <w:rFonts w:cs="Arial"/>
                                <w:color w:val="1C1C1C"/>
                                <w:lang w:val="en-US"/>
                              </w:rPr>
                              <w:t xml:space="preserve">The funding offer is designed to </w:t>
                            </w:r>
                            <w:r w:rsidR="001A03A4" w:rsidRPr="008E6B8C">
                              <w:rPr>
                                <w:rFonts w:cs="Arial"/>
                                <w:color w:val="1C1C1C"/>
                                <w:lang w:val="en-US"/>
                              </w:rPr>
                              <w:t xml:space="preserve">support </w:t>
                            </w:r>
                            <w:r w:rsidR="001B2A57" w:rsidRPr="008E6B8C">
                              <w:rPr>
                                <w:rFonts w:cs="Arial"/>
                                <w:color w:val="1C1C1C"/>
                                <w:lang w:val="en-US"/>
                              </w:rPr>
                              <w:t>the growth and transformation of</w:t>
                            </w:r>
                            <w:r w:rsidR="001A03A4" w:rsidRPr="008E6B8C">
                              <w:rPr>
                                <w:rFonts w:cs="Arial"/>
                                <w:color w:val="1C1C1C"/>
                                <w:lang w:val="en-US"/>
                              </w:rPr>
                              <w:t xml:space="preserve"> the </w:t>
                            </w:r>
                            <w:r w:rsidR="001B2A57" w:rsidRPr="008E6B8C">
                              <w:rPr>
                                <w:rFonts w:cs="Arial"/>
                                <w:color w:val="1C1C1C"/>
                                <w:lang w:val="en-US"/>
                              </w:rPr>
                              <w:t>pathology workforce</w:t>
                            </w:r>
                            <w:r w:rsidR="00254C8A" w:rsidRPr="008E6B8C">
                              <w:rPr>
                                <w:rFonts w:cs="Arial"/>
                                <w:b/>
                                <w:bCs/>
                                <w:lang w:val="en-US"/>
                              </w:rPr>
                              <w:t>.</w:t>
                            </w:r>
                            <w:r w:rsidRPr="008E6B8C">
                              <w:rPr>
                                <w:rFonts w:cs="Arial"/>
                                <w:lang w:val="en-US"/>
                              </w:rPr>
                              <w:t xml:space="preserve"> </w:t>
                            </w:r>
                          </w:p>
                          <w:p w14:paraId="4F8D7583" w14:textId="77777777" w:rsidR="0036112F" w:rsidRPr="008E6B8C" w:rsidRDefault="0036112F" w:rsidP="0036112F">
                            <w:pPr>
                              <w:rPr>
                                <w:rFonts w:cs="Arial"/>
                                <w:color w:val="1C1C1C"/>
                              </w:rPr>
                            </w:pPr>
                          </w:p>
                          <w:p w14:paraId="3D6FC3CB" w14:textId="77777777" w:rsidR="001B2A57" w:rsidRPr="008E6B8C" w:rsidRDefault="0036112F" w:rsidP="0036112F">
                            <w:pPr>
                              <w:rPr>
                                <w:rFonts w:cs="Arial"/>
                                <w:b/>
                                <w:bCs/>
                                <w:color w:val="1C1C1C"/>
                              </w:rPr>
                            </w:pPr>
                            <w:r w:rsidRPr="008E6B8C">
                              <w:rPr>
                                <w:rFonts w:cs="Arial"/>
                                <w:b/>
                                <w:bCs/>
                                <w:color w:val="1C1C1C"/>
                              </w:rPr>
                              <w:t>This funding</w:t>
                            </w:r>
                          </w:p>
                          <w:p w14:paraId="77A1E1F9" w14:textId="6B4AF853" w:rsidR="001B2A57" w:rsidRPr="008E6B8C" w:rsidRDefault="001B2A57" w:rsidP="001B2A57">
                            <w:pPr>
                              <w:pStyle w:val="ListParagraph"/>
                              <w:numPr>
                                <w:ilvl w:val="0"/>
                                <w:numId w:val="15"/>
                              </w:numPr>
                              <w:rPr>
                                <w:rFonts w:cs="Arial"/>
                                <w:color w:val="1C1C1C"/>
                              </w:rPr>
                            </w:pPr>
                            <w:r w:rsidRPr="008E6B8C">
                              <w:rPr>
                                <w:rFonts w:cs="Arial"/>
                                <w:color w:val="1C1C1C"/>
                              </w:rPr>
                              <w:t xml:space="preserve">Is available to support apprentices in </w:t>
                            </w:r>
                            <w:r w:rsidR="00CF21C6" w:rsidRPr="008E6B8C">
                              <w:rPr>
                                <w:rFonts w:cs="Arial"/>
                                <w:color w:val="1C1C1C"/>
                              </w:rPr>
                              <w:t xml:space="preserve">the </w:t>
                            </w:r>
                            <w:r w:rsidRPr="008E6B8C">
                              <w:rPr>
                                <w:rFonts w:cs="Arial"/>
                                <w:color w:val="1C1C1C"/>
                              </w:rPr>
                              <w:t>first year of their programme</w:t>
                            </w:r>
                          </w:p>
                          <w:p w14:paraId="0159AC54" w14:textId="2F2247A0" w:rsidR="001B2A57" w:rsidRPr="008E6B8C" w:rsidRDefault="001B2A57" w:rsidP="001B2A57">
                            <w:pPr>
                              <w:pStyle w:val="ListParagraph"/>
                              <w:numPr>
                                <w:ilvl w:val="0"/>
                                <w:numId w:val="15"/>
                              </w:numPr>
                              <w:rPr>
                                <w:rFonts w:cs="Arial"/>
                                <w:color w:val="1C1C1C"/>
                              </w:rPr>
                            </w:pPr>
                            <w:r w:rsidRPr="008E6B8C">
                              <w:rPr>
                                <w:rFonts w:cs="Arial"/>
                                <w:color w:val="1C1C1C"/>
                              </w:rPr>
                              <w:t>Is to support</w:t>
                            </w:r>
                            <w:r w:rsidR="00CF64E7" w:rsidRPr="008E6B8C">
                              <w:rPr>
                                <w:rFonts w:cs="Arial"/>
                                <w:color w:val="1C1C1C"/>
                              </w:rPr>
                              <w:t xml:space="preserve"> healthcare science</w:t>
                            </w:r>
                            <w:r w:rsidRPr="008E6B8C">
                              <w:rPr>
                                <w:rFonts w:cs="Arial"/>
                                <w:color w:val="1C1C1C"/>
                              </w:rPr>
                              <w:t xml:space="preserve"> learners on an apprenticeship programme </w:t>
                            </w:r>
                            <w:r w:rsidR="005B0724" w:rsidRPr="008E6B8C">
                              <w:rPr>
                                <w:rFonts w:cs="Arial"/>
                                <w:color w:val="1C1C1C"/>
                              </w:rPr>
                              <w:t xml:space="preserve">in </w:t>
                            </w:r>
                            <w:r w:rsidRPr="008E6B8C">
                              <w:rPr>
                                <w:rFonts w:cs="Arial"/>
                                <w:color w:val="1C1C1C"/>
                              </w:rPr>
                              <w:t>Pathology and Life Sciences at Level</w:t>
                            </w:r>
                            <w:r w:rsidR="00CF21C6" w:rsidRPr="008E6B8C">
                              <w:rPr>
                                <w:rFonts w:cs="Arial"/>
                                <w:color w:val="1C1C1C"/>
                              </w:rPr>
                              <w:t>s</w:t>
                            </w:r>
                            <w:r w:rsidRPr="008E6B8C">
                              <w:rPr>
                                <w:rFonts w:cs="Arial"/>
                                <w:color w:val="1C1C1C"/>
                              </w:rPr>
                              <w:t>, 2, 4 and 6.</w:t>
                            </w:r>
                          </w:p>
                          <w:p w14:paraId="3CDDDC9F" w14:textId="63CFFBA6" w:rsidR="001B2A57" w:rsidRPr="008E6B8C" w:rsidRDefault="001B2A57" w:rsidP="001B2A57">
                            <w:pPr>
                              <w:pStyle w:val="ListParagraph"/>
                              <w:numPr>
                                <w:ilvl w:val="0"/>
                                <w:numId w:val="15"/>
                              </w:numPr>
                              <w:rPr>
                                <w:rFonts w:cs="Arial"/>
                                <w:color w:val="1C1C1C"/>
                              </w:rPr>
                            </w:pPr>
                            <w:r w:rsidRPr="008E6B8C">
                              <w:rPr>
                                <w:rFonts w:cs="Arial"/>
                                <w:color w:val="1C1C1C"/>
                              </w:rPr>
                              <w:t>Should be used by employers to support and facilitate their learners completing a recognised apprenticeship training programme. Grants are intended to help the department with further training costs associated with hosting and supervising apprentices.</w:t>
                            </w:r>
                          </w:p>
                          <w:p w14:paraId="24220EFB" w14:textId="7F09AD06" w:rsidR="001B2A57" w:rsidRPr="008E6B8C" w:rsidRDefault="001B2A57" w:rsidP="001B2A57">
                            <w:pPr>
                              <w:pStyle w:val="ListParagraph"/>
                              <w:numPr>
                                <w:ilvl w:val="0"/>
                                <w:numId w:val="15"/>
                              </w:numPr>
                              <w:rPr>
                                <w:rFonts w:cs="Arial"/>
                                <w:color w:val="1C1C1C"/>
                              </w:rPr>
                            </w:pPr>
                            <w:r w:rsidRPr="008E6B8C">
                              <w:rPr>
                                <w:rFonts w:cs="Arial"/>
                                <w:color w:val="1C1C1C"/>
                              </w:rPr>
                              <w:t>Is offered to Trusts within the South East NHSE geography. Trusts based within the South West (Dorset and Salisbury) and East of England (Milton Keynes) can access this funding offer through their equivalent NHSE Cancer and Diagnostics WT&amp;E team.</w:t>
                            </w:r>
                          </w:p>
                          <w:p w14:paraId="27D2F7D2" w14:textId="77777777" w:rsidR="0061221F" w:rsidRPr="008E6B8C" w:rsidRDefault="0061221F" w:rsidP="0036112F">
                            <w:pPr>
                              <w:rPr>
                                <w:rFonts w:cs="Arial"/>
                                <w:b/>
                                <w:bCs/>
                                <w:color w:val="0070C0"/>
                                <w:highlight w:val="yellow"/>
                                <w:lang w:val="en-US"/>
                              </w:rPr>
                            </w:pPr>
                          </w:p>
                          <w:p w14:paraId="2B2C767E" w14:textId="77777777" w:rsidR="0036112F" w:rsidRPr="008E6B8C" w:rsidRDefault="0036112F" w:rsidP="0036112F">
                            <w:pPr>
                              <w:rPr>
                                <w:rFonts w:cs="Arial"/>
                                <w:b/>
                                <w:bCs/>
                                <w:color w:val="1C1C1C"/>
                              </w:rPr>
                            </w:pPr>
                            <w:r w:rsidRPr="008E6B8C">
                              <w:rPr>
                                <w:rFonts w:cs="Arial"/>
                                <w:b/>
                                <w:bCs/>
                                <w:color w:val="1C1C1C"/>
                              </w:rPr>
                              <w:t>Deadline for funding applications</w:t>
                            </w:r>
                          </w:p>
                          <w:p w14:paraId="63CA800F" w14:textId="0C491EEC" w:rsidR="0036112F" w:rsidRPr="008E6B8C" w:rsidRDefault="00034451" w:rsidP="0036112F">
                            <w:pPr>
                              <w:pStyle w:val="ListParagraph"/>
                              <w:numPr>
                                <w:ilvl w:val="0"/>
                                <w:numId w:val="2"/>
                              </w:numPr>
                              <w:rPr>
                                <w:rFonts w:cs="Arial"/>
                                <w:color w:val="FF0000"/>
                              </w:rPr>
                            </w:pPr>
                            <w:r w:rsidRPr="008E6B8C">
                              <w:rPr>
                                <w:rFonts w:cs="Arial"/>
                                <w:b/>
                                <w:bCs/>
                              </w:rPr>
                              <w:t xml:space="preserve">The </w:t>
                            </w:r>
                            <w:r w:rsidR="00DC72BC" w:rsidRPr="008E6B8C">
                              <w:rPr>
                                <w:rFonts w:cs="Arial"/>
                                <w:b/>
                                <w:bCs/>
                              </w:rPr>
                              <w:t xml:space="preserve">Round </w:t>
                            </w:r>
                            <w:r w:rsidR="008E6B8C" w:rsidRPr="008E6B8C">
                              <w:rPr>
                                <w:rFonts w:cs="Arial"/>
                                <w:b/>
                                <w:bCs/>
                              </w:rPr>
                              <w:t>3</w:t>
                            </w:r>
                            <w:r w:rsidR="00DC72BC" w:rsidRPr="008E6B8C">
                              <w:rPr>
                                <w:rFonts w:cs="Arial"/>
                                <w:b/>
                                <w:bCs/>
                              </w:rPr>
                              <w:t xml:space="preserve"> </w:t>
                            </w:r>
                            <w:r w:rsidRPr="008E6B8C">
                              <w:rPr>
                                <w:rFonts w:cs="Arial"/>
                                <w:b/>
                                <w:bCs/>
                              </w:rPr>
                              <w:t xml:space="preserve">application window will </w:t>
                            </w:r>
                            <w:r w:rsidR="008E6B8C" w:rsidRPr="008E6B8C">
                              <w:rPr>
                                <w:rFonts w:cs="Arial"/>
                                <w:b/>
                                <w:bCs/>
                              </w:rPr>
                              <w:t xml:space="preserve">open </w:t>
                            </w:r>
                            <w:r w:rsidR="00E14510" w:rsidRPr="008E6B8C">
                              <w:rPr>
                                <w:rFonts w:cs="Arial"/>
                                <w:b/>
                                <w:bCs/>
                              </w:rPr>
                              <w:t xml:space="preserve">in early </w:t>
                            </w:r>
                            <w:r w:rsidR="008E6B8C" w:rsidRPr="008E6B8C">
                              <w:rPr>
                                <w:rFonts w:cs="Arial"/>
                                <w:b/>
                                <w:bCs/>
                              </w:rPr>
                              <w:t>October</w:t>
                            </w:r>
                            <w:r w:rsidR="00DC72BC" w:rsidRPr="008E6B8C">
                              <w:rPr>
                                <w:rFonts w:cs="Arial"/>
                                <w:b/>
                                <w:bCs/>
                              </w:rPr>
                              <w:t xml:space="preserve"> </w:t>
                            </w:r>
                            <w:r w:rsidRPr="008E6B8C">
                              <w:rPr>
                                <w:rFonts w:cs="Arial"/>
                                <w:b/>
                                <w:bCs/>
                              </w:rPr>
                              <w:t xml:space="preserve">and will </w:t>
                            </w:r>
                            <w:r w:rsidRPr="008E6B8C">
                              <w:rPr>
                                <w:rFonts w:cs="Arial"/>
                                <w:b/>
                                <w:bCs/>
                                <w:color w:val="FF0000"/>
                              </w:rPr>
                              <w:t xml:space="preserve">close at </w:t>
                            </w:r>
                            <w:r w:rsidR="008E6B8C" w:rsidRPr="008E6B8C">
                              <w:rPr>
                                <w:rFonts w:cs="Arial"/>
                                <w:b/>
                                <w:bCs/>
                                <w:color w:val="FF0000"/>
                              </w:rPr>
                              <w:t>10am</w:t>
                            </w:r>
                            <w:r w:rsidR="0036112F" w:rsidRPr="008E6B8C">
                              <w:rPr>
                                <w:rFonts w:cs="Arial"/>
                                <w:b/>
                                <w:bCs/>
                                <w:color w:val="FF0000"/>
                              </w:rPr>
                              <w:t xml:space="preserve"> on </w:t>
                            </w:r>
                            <w:r w:rsidR="008E6B8C" w:rsidRPr="008E6B8C">
                              <w:rPr>
                                <w:rFonts w:cs="Arial"/>
                                <w:b/>
                                <w:bCs/>
                                <w:color w:val="FF0000"/>
                              </w:rPr>
                              <w:t>Monday 11 November</w:t>
                            </w:r>
                            <w:r w:rsidR="00DF6194" w:rsidRPr="008E6B8C">
                              <w:rPr>
                                <w:rFonts w:cs="Arial"/>
                                <w:b/>
                                <w:bCs/>
                                <w:color w:val="FF0000"/>
                              </w:rPr>
                              <w:t xml:space="preserve"> 2024</w:t>
                            </w:r>
                            <w:r w:rsidR="001C6231" w:rsidRPr="008E6B8C">
                              <w:rPr>
                                <w:rFonts w:cs="Arial"/>
                                <w:color w:val="FF0000"/>
                              </w:rPr>
                              <w:t xml:space="preserve">. </w:t>
                            </w:r>
                          </w:p>
                          <w:p w14:paraId="3968F99C" w14:textId="0CF689E8" w:rsidR="00DC72BC" w:rsidRPr="008E6B8C" w:rsidRDefault="00DC72BC" w:rsidP="00DC72BC">
                            <w:pPr>
                              <w:pStyle w:val="ListParagraph"/>
                              <w:numPr>
                                <w:ilvl w:val="0"/>
                                <w:numId w:val="2"/>
                              </w:numPr>
                              <w:rPr>
                                <w:rFonts w:cs="Arial"/>
                                <w:color w:val="1C1C1C"/>
                              </w:rPr>
                            </w:pPr>
                            <w:r w:rsidRPr="008E6B8C">
                              <w:rPr>
                                <w:rFonts w:cs="Arial"/>
                                <w:color w:val="1C1C1C"/>
                              </w:rPr>
                              <w:t>There is no need to resubmit earlier applications.</w:t>
                            </w:r>
                          </w:p>
                          <w:p w14:paraId="3551B649" w14:textId="77777777" w:rsidR="001B2A57" w:rsidRPr="008E6B8C" w:rsidRDefault="001B2A57" w:rsidP="001B2A57">
                            <w:pPr>
                              <w:rPr>
                                <w:rFonts w:cs="Arial"/>
                                <w:color w:val="1C1C1C"/>
                              </w:rPr>
                            </w:pPr>
                          </w:p>
                          <w:p w14:paraId="41839E5D" w14:textId="77777777" w:rsidR="008E6B8C" w:rsidRDefault="000F74D4" w:rsidP="00CF21C6">
                            <w:pPr>
                              <w:rPr>
                                <w:rFonts w:cs="Arial"/>
                                <w:color w:val="1C1C1C"/>
                              </w:rPr>
                            </w:pPr>
                            <w:r w:rsidRPr="008E6B8C">
                              <w:rPr>
                                <w:rFonts w:cs="Arial"/>
                                <w:b/>
                                <w:bCs/>
                                <w:color w:val="1C1C1C"/>
                              </w:rPr>
                              <w:t>Please note:</w:t>
                            </w:r>
                            <w:r w:rsidRPr="008E6B8C">
                              <w:rPr>
                                <w:rFonts w:cs="Arial"/>
                                <w:color w:val="1C1C1C"/>
                              </w:rPr>
                              <w:t xml:space="preserve"> </w:t>
                            </w:r>
                          </w:p>
                          <w:p w14:paraId="0CA8056E" w14:textId="2A98C328" w:rsidR="0036112F" w:rsidRPr="008E6B8C" w:rsidRDefault="000F74D4" w:rsidP="008E6B8C">
                            <w:pPr>
                              <w:pStyle w:val="ListParagraph"/>
                              <w:numPr>
                                <w:ilvl w:val="0"/>
                                <w:numId w:val="23"/>
                              </w:numPr>
                              <w:rPr>
                                <w:rFonts w:cs="Arial"/>
                                <w:color w:val="1C1C1C"/>
                              </w:rPr>
                            </w:pPr>
                            <w:r w:rsidRPr="008E6B8C">
                              <w:rPr>
                                <w:rFonts w:cs="Arial"/>
                                <w:color w:val="1C1C1C"/>
                              </w:rPr>
                              <w:t>Funding is required to be spent and fully utilised by 31 March 2025, and chosen courses and formal education must start before 31 March 2025</w:t>
                            </w:r>
                            <w:r w:rsidR="00E94AA0" w:rsidRPr="008E6B8C">
                              <w:rPr>
                                <w:rFonts w:cs="Arial"/>
                                <w:color w:val="1C1C1C"/>
                              </w:rPr>
                              <w:t>.</w:t>
                            </w:r>
                          </w:p>
                          <w:p w14:paraId="69237C48" w14:textId="527AB2C3" w:rsidR="008E6B8C" w:rsidRPr="008E6B8C" w:rsidRDefault="008E6B8C" w:rsidP="008E6B8C">
                            <w:pPr>
                              <w:pStyle w:val="ListParagraph"/>
                              <w:numPr>
                                <w:ilvl w:val="0"/>
                                <w:numId w:val="23"/>
                              </w:numPr>
                              <w:rPr>
                                <w:rFonts w:cs="Arial"/>
                                <w:color w:val="1C1C1C"/>
                              </w:rPr>
                            </w:pPr>
                            <w:r w:rsidRPr="008E6B8C">
                              <w:rPr>
                                <w:rFonts w:cs="Arial"/>
                                <w:color w:val="1C1C1C"/>
                              </w:rPr>
                              <w:t xml:space="preserve">If approved and all requested information received, funding will be paid </w:t>
                            </w:r>
                            <w:r>
                              <w:rPr>
                                <w:rFonts w:cs="Arial"/>
                                <w:color w:val="1C1C1C"/>
                              </w:rPr>
                              <w:t xml:space="preserve">directly </w:t>
                            </w:r>
                            <w:r w:rsidRPr="008E6B8C">
                              <w:rPr>
                                <w:rFonts w:cs="Arial"/>
                                <w:color w:val="1C1C1C"/>
                              </w:rPr>
                              <w:t xml:space="preserve">to organisations in the January 2025 </w:t>
                            </w:r>
                            <w:r w:rsidR="008B6B75">
                              <w:rPr>
                                <w:rFonts w:cs="Arial"/>
                                <w:color w:val="1C1C1C"/>
                              </w:rPr>
                              <w:t xml:space="preserve">NHSE </w:t>
                            </w:r>
                            <w:r w:rsidRPr="008E6B8C">
                              <w:rPr>
                                <w:rFonts w:cs="Arial"/>
                                <w:color w:val="1C1C1C"/>
                              </w:rPr>
                              <w:t xml:space="preserve">education funding agreement schedule.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4FA83" id="_x0000_t202" coordsize="21600,21600" o:spt="202" path="m,l,21600r21600,l21600,xe">
                <v:stroke joinstyle="miter"/>
                <v:path gradientshapeok="t" o:connecttype="rect"/>
              </v:shapetype>
              <v:shape id="Text Box 1" o:spid="_x0000_s1026" type="#_x0000_t202" style="position:absolute;margin-left:0;margin-top:54pt;width:508.8pt;height:507.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" filled="f" strokecolor="#0070c0" strokeweight="1.5pt">
                <v:textbox>
                  <w:txbxContent>
                    <w:p w14:paraId="552B6A63" w14:textId="77777777" w:rsidR="0036112F" w:rsidRDefault="0036112F" w:rsidP="0036112F">
                      <w:pPr>
                        <w:rPr>
                          <w:b/>
                          <w:bCs/>
                          <w:color w:val="00A9CE"/>
                          <w:sz w:val="36"/>
                          <w:szCs w:val="36"/>
                        </w:rPr>
                      </w:pPr>
                      <w:r w:rsidRPr="0068698D">
                        <w:rPr>
                          <w:b/>
                          <w:bCs/>
                          <w:color w:val="00A9CE"/>
                          <w:sz w:val="36"/>
                          <w:szCs w:val="36"/>
                        </w:rPr>
                        <w:t>Key Messages</w:t>
                      </w:r>
                    </w:p>
                    <w:p w14:paraId="3F2DC9E4" w14:textId="77777777" w:rsidR="00F95337" w:rsidRDefault="00F95337" w:rsidP="0036112F">
                      <w:pPr>
                        <w:rPr>
                          <w:b/>
                          <w:bCs/>
                          <w:color w:val="00A9CE"/>
                          <w:sz w:val="36"/>
                          <w:szCs w:val="36"/>
                        </w:rPr>
                      </w:pPr>
                    </w:p>
                    <w:p w14:paraId="00D9CC46" w14:textId="6597CE10" w:rsidR="009D4078" w:rsidRPr="008E6B8C" w:rsidRDefault="00C95AED" w:rsidP="009D4078">
                      <w:r w:rsidRPr="008E6B8C">
                        <w:t xml:space="preserve">This document details the 2024/25 offer for </w:t>
                      </w:r>
                      <w:r w:rsidR="00FD7AFC" w:rsidRPr="008E6B8C">
                        <w:rPr>
                          <w:rFonts w:cs="Arial"/>
                          <w:lang w:val="en-US"/>
                        </w:rPr>
                        <w:t>Pathology Apprenticeship training grants</w:t>
                      </w:r>
                      <w:r w:rsidRPr="008E6B8C">
                        <w:rPr>
                          <w:rFonts w:cs="Arial"/>
                          <w:color w:val="1C1C1C"/>
                          <w:lang w:val="en-US"/>
                        </w:rPr>
                        <w:t>.</w:t>
                      </w:r>
                    </w:p>
                    <w:p w14:paraId="7D9D41C3" w14:textId="77777777" w:rsidR="0036112F" w:rsidRPr="008E6B8C" w:rsidRDefault="0036112F" w:rsidP="0036112F">
                      <w:pPr>
                        <w:rPr>
                          <w:rFonts w:cs="Arial"/>
                        </w:rPr>
                      </w:pPr>
                    </w:p>
                    <w:p w14:paraId="0C73BFB0" w14:textId="2A359504" w:rsidR="0036112F" w:rsidRPr="008E6B8C" w:rsidRDefault="0036112F" w:rsidP="0036112F">
                      <w:pPr>
                        <w:rPr>
                          <w:rFonts w:cs="Arial"/>
                          <w:color w:val="1C1C1C"/>
                        </w:rPr>
                      </w:pPr>
                      <w:r w:rsidRPr="008E6B8C">
                        <w:rPr>
                          <w:rFonts w:cs="Arial"/>
                          <w:color w:val="1C1C1C"/>
                          <w:lang w:val="en-US"/>
                        </w:rPr>
                        <w:t xml:space="preserve">The funding offer is designed to </w:t>
                      </w:r>
                      <w:r w:rsidR="001A03A4" w:rsidRPr="008E6B8C">
                        <w:rPr>
                          <w:rFonts w:cs="Arial"/>
                          <w:color w:val="1C1C1C"/>
                          <w:lang w:val="en-US"/>
                        </w:rPr>
                        <w:t xml:space="preserve">support </w:t>
                      </w:r>
                      <w:r w:rsidR="001B2A57" w:rsidRPr="008E6B8C">
                        <w:rPr>
                          <w:rFonts w:cs="Arial"/>
                          <w:color w:val="1C1C1C"/>
                          <w:lang w:val="en-US"/>
                        </w:rPr>
                        <w:t>the growth and transformation of</w:t>
                      </w:r>
                      <w:r w:rsidR="001A03A4" w:rsidRPr="008E6B8C">
                        <w:rPr>
                          <w:rFonts w:cs="Arial"/>
                          <w:color w:val="1C1C1C"/>
                          <w:lang w:val="en-US"/>
                        </w:rPr>
                        <w:t xml:space="preserve"> the </w:t>
                      </w:r>
                      <w:r w:rsidR="001B2A57" w:rsidRPr="008E6B8C">
                        <w:rPr>
                          <w:rFonts w:cs="Arial"/>
                          <w:color w:val="1C1C1C"/>
                          <w:lang w:val="en-US"/>
                        </w:rPr>
                        <w:t>pathology workforce</w:t>
                      </w:r>
                      <w:r w:rsidR="00254C8A" w:rsidRPr="008E6B8C">
                        <w:rPr>
                          <w:rFonts w:cs="Arial"/>
                          <w:b/>
                          <w:bCs/>
                          <w:lang w:val="en-US"/>
                        </w:rPr>
                        <w:t>.</w:t>
                      </w:r>
                      <w:r w:rsidRPr="008E6B8C">
                        <w:rPr>
                          <w:rFonts w:cs="Arial"/>
                          <w:lang w:val="en-US"/>
                        </w:rPr>
                        <w:t xml:space="preserve"> </w:t>
                      </w:r>
                    </w:p>
                    <w:p w14:paraId="4F8D7583" w14:textId="77777777" w:rsidR="0036112F" w:rsidRPr="008E6B8C" w:rsidRDefault="0036112F" w:rsidP="0036112F">
                      <w:pPr>
                        <w:rPr>
                          <w:rFonts w:cs="Arial"/>
                          <w:color w:val="1C1C1C"/>
                        </w:rPr>
                      </w:pPr>
                    </w:p>
                    <w:p w14:paraId="3D6FC3CB" w14:textId="77777777" w:rsidR="001B2A57" w:rsidRPr="008E6B8C" w:rsidRDefault="0036112F" w:rsidP="0036112F">
                      <w:pPr>
                        <w:rPr>
                          <w:rFonts w:cs="Arial"/>
                          <w:b/>
                          <w:bCs/>
                          <w:color w:val="1C1C1C"/>
                        </w:rPr>
                      </w:pPr>
                      <w:r w:rsidRPr="008E6B8C">
                        <w:rPr>
                          <w:rFonts w:cs="Arial"/>
                          <w:b/>
                          <w:bCs/>
                          <w:color w:val="1C1C1C"/>
                        </w:rPr>
                        <w:t>This funding</w:t>
                      </w:r>
                    </w:p>
                    <w:p w14:paraId="77A1E1F9" w14:textId="6B4AF853" w:rsidR="001B2A57" w:rsidRPr="008E6B8C" w:rsidRDefault="001B2A57" w:rsidP="001B2A57">
                      <w:pPr>
                        <w:pStyle w:val="ListParagraph"/>
                        <w:numPr>
                          <w:ilvl w:val="0"/>
                          <w:numId w:val="15"/>
                        </w:numPr>
                        <w:rPr>
                          <w:rFonts w:cs="Arial"/>
                          <w:color w:val="1C1C1C"/>
                        </w:rPr>
                      </w:pPr>
                      <w:r w:rsidRPr="008E6B8C">
                        <w:rPr>
                          <w:rFonts w:cs="Arial"/>
                          <w:color w:val="1C1C1C"/>
                        </w:rPr>
                        <w:t xml:space="preserve">Is available to support apprentices in </w:t>
                      </w:r>
                      <w:r w:rsidR="00CF21C6" w:rsidRPr="008E6B8C">
                        <w:rPr>
                          <w:rFonts w:cs="Arial"/>
                          <w:color w:val="1C1C1C"/>
                        </w:rPr>
                        <w:t xml:space="preserve">the </w:t>
                      </w:r>
                      <w:r w:rsidRPr="008E6B8C">
                        <w:rPr>
                          <w:rFonts w:cs="Arial"/>
                          <w:color w:val="1C1C1C"/>
                        </w:rPr>
                        <w:t>first year of their programme</w:t>
                      </w:r>
                    </w:p>
                    <w:p w14:paraId="0159AC54" w14:textId="2F2247A0" w:rsidR="001B2A57" w:rsidRPr="008E6B8C" w:rsidRDefault="001B2A57" w:rsidP="001B2A57">
                      <w:pPr>
                        <w:pStyle w:val="ListParagraph"/>
                        <w:numPr>
                          <w:ilvl w:val="0"/>
                          <w:numId w:val="15"/>
                        </w:numPr>
                        <w:rPr>
                          <w:rFonts w:cs="Arial"/>
                          <w:color w:val="1C1C1C"/>
                        </w:rPr>
                      </w:pPr>
                      <w:r w:rsidRPr="008E6B8C">
                        <w:rPr>
                          <w:rFonts w:cs="Arial"/>
                          <w:color w:val="1C1C1C"/>
                        </w:rPr>
                        <w:t>Is to support</w:t>
                      </w:r>
                      <w:r w:rsidR="00CF64E7" w:rsidRPr="008E6B8C">
                        <w:rPr>
                          <w:rFonts w:cs="Arial"/>
                          <w:color w:val="1C1C1C"/>
                        </w:rPr>
                        <w:t xml:space="preserve"> healthcare science</w:t>
                      </w:r>
                      <w:r w:rsidRPr="008E6B8C">
                        <w:rPr>
                          <w:rFonts w:cs="Arial"/>
                          <w:color w:val="1C1C1C"/>
                        </w:rPr>
                        <w:t xml:space="preserve"> learners on an apprenticeship programme </w:t>
                      </w:r>
                      <w:r w:rsidR="005B0724" w:rsidRPr="008E6B8C">
                        <w:rPr>
                          <w:rFonts w:cs="Arial"/>
                          <w:color w:val="1C1C1C"/>
                        </w:rPr>
                        <w:t xml:space="preserve">in </w:t>
                      </w:r>
                      <w:r w:rsidRPr="008E6B8C">
                        <w:rPr>
                          <w:rFonts w:cs="Arial"/>
                          <w:color w:val="1C1C1C"/>
                        </w:rPr>
                        <w:t>Pathology and Life Sciences at Level</w:t>
                      </w:r>
                      <w:r w:rsidR="00CF21C6" w:rsidRPr="008E6B8C">
                        <w:rPr>
                          <w:rFonts w:cs="Arial"/>
                          <w:color w:val="1C1C1C"/>
                        </w:rPr>
                        <w:t>s</w:t>
                      </w:r>
                      <w:r w:rsidRPr="008E6B8C">
                        <w:rPr>
                          <w:rFonts w:cs="Arial"/>
                          <w:color w:val="1C1C1C"/>
                        </w:rPr>
                        <w:t>, 2, 4 and 6.</w:t>
                      </w:r>
                    </w:p>
                    <w:p w14:paraId="3CDDDC9F" w14:textId="63CFFBA6" w:rsidR="001B2A57" w:rsidRPr="008E6B8C" w:rsidRDefault="001B2A57" w:rsidP="001B2A57">
                      <w:pPr>
                        <w:pStyle w:val="ListParagraph"/>
                        <w:numPr>
                          <w:ilvl w:val="0"/>
                          <w:numId w:val="15"/>
                        </w:numPr>
                        <w:rPr>
                          <w:rFonts w:cs="Arial"/>
                          <w:color w:val="1C1C1C"/>
                        </w:rPr>
                      </w:pPr>
                      <w:r w:rsidRPr="008E6B8C">
                        <w:rPr>
                          <w:rFonts w:cs="Arial"/>
                          <w:color w:val="1C1C1C"/>
                        </w:rPr>
                        <w:t>Should be used by employers to support and facilitate their learners completing a recognised apprenticeship training programme. Grants are intended to help the department with further training costs associated with hosting and supervising apprentices.</w:t>
                      </w:r>
                    </w:p>
                    <w:p w14:paraId="24220EFB" w14:textId="7F09AD06" w:rsidR="001B2A57" w:rsidRPr="008E6B8C" w:rsidRDefault="001B2A57" w:rsidP="001B2A57">
                      <w:pPr>
                        <w:pStyle w:val="ListParagraph"/>
                        <w:numPr>
                          <w:ilvl w:val="0"/>
                          <w:numId w:val="15"/>
                        </w:numPr>
                        <w:rPr>
                          <w:rFonts w:cs="Arial"/>
                          <w:color w:val="1C1C1C"/>
                        </w:rPr>
                      </w:pPr>
                      <w:r w:rsidRPr="008E6B8C">
                        <w:rPr>
                          <w:rFonts w:cs="Arial"/>
                          <w:color w:val="1C1C1C"/>
                        </w:rPr>
                        <w:t>Is offered to Trusts within the South East NHSE geography. Trusts based within the South West (Dorset and Salisbury) and East of England (Milton Keynes) can access this funding offer through their equivalent NHSE Cancer and Diagnostics WT&amp;E team.</w:t>
                      </w:r>
                    </w:p>
                    <w:p w14:paraId="27D2F7D2" w14:textId="77777777" w:rsidR="0061221F" w:rsidRPr="008E6B8C" w:rsidRDefault="0061221F" w:rsidP="0036112F">
                      <w:pPr>
                        <w:rPr>
                          <w:rFonts w:cs="Arial"/>
                          <w:b/>
                          <w:bCs/>
                          <w:color w:val="0070C0"/>
                          <w:highlight w:val="yellow"/>
                          <w:lang w:val="en-US"/>
                        </w:rPr>
                      </w:pPr>
                    </w:p>
                    <w:p w14:paraId="2B2C767E" w14:textId="77777777" w:rsidR="0036112F" w:rsidRPr="008E6B8C" w:rsidRDefault="0036112F" w:rsidP="0036112F">
                      <w:pPr>
                        <w:rPr>
                          <w:rFonts w:cs="Arial"/>
                          <w:b/>
                          <w:bCs/>
                          <w:color w:val="1C1C1C"/>
                        </w:rPr>
                      </w:pPr>
                      <w:r w:rsidRPr="008E6B8C">
                        <w:rPr>
                          <w:rFonts w:cs="Arial"/>
                          <w:b/>
                          <w:bCs/>
                          <w:color w:val="1C1C1C"/>
                        </w:rPr>
                        <w:t>Deadline for funding applications</w:t>
                      </w:r>
                    </w:p>
                    <w:p w14:paraId="63CA800F" w14:textId="0C491EEC" w:rsidR="0036112F" w:rsidRPr="008E6B8C" w:rsidRDefault="00034451" w:rsidP="0036112F">
                      <w:pPr>
                        <w:pStyle w:val="ListParagraph"/>
                        <w:numPr>
                          <w:ilvl w:val="0"/>
                          <w:numId w:val="2"/>
                        </w:numPr>
                        <w:rPr>
                          <w:rFonts w:cs="Arial"/>
                          <w:color w:val="FF0000"/>
                        </w:rPr>
                      </w:pPr>
                      <w:r w:rsidRPr="008E6B8C">
                        <w:rPr>
                          <w:rFonts w:cs="Arial"/>
                          <w:b/>
                          <w:bCs/>
                        </w:rPr>
                        <w:t xml:space="preserve">The </w:t>
                      </w:r>
                      <w:r w:rsidR="00DC72BC" w:rsidRPr="008E6B8C">
                        <w:rPr>
                          <w:rFonts w:cs="Arial"/>
                          <w:b/>
                          <w:bCs/>
                        </w:rPr>
                        <w:t xml:space="preserve">Round </w:t>
                      </w:r>
                      <w:r w:rsidR="008E6B8C" w:rsidRPr="008E6B8C">
                        <w:rPr>
                          <w:rFonts w:cs="Arial"/>
                          <w:b/>
                          <w:bCs/>
                        </w:rPr>
                        <w:t>3</w:t>
                      </w:r>
                      <w:r w:rsidR="00DC72BC" w:rsidRPr="008E6B8C">
                        <w:rPr>
                          <w:rFonts w:cs="Arial"/>
                          <w:b/>
                          <w:bCs/>
                        </w:rPr>
                        <w:t xml:space="preserve"> </w:t>
                      </w:r>
                      <w:r w:rsidRPr="008E6B8C">
                        <w:rPr>
                          <w:rFonts w:cs="Arial"/>
                          <w:b/>
                          <w:bCs/>
                        </w:rPr>
                        <w:t xml:space="preserve">application window will </w:t>
                      </w:r>
                      <w:r w:rsidR="008E6B8C" w:rsidRPr="008E6B8C">
                        <w:rPr>
                          <w:rFonts w:cs="Arial"/>
                          <w:b/>
                          <w:bCs/>
                        </w:rPr>
                        <w:t xml:space="preserve">open </w:t>
                      </w:r>
                      <w:r w:rsidR="00E14510" w:rsidRPr="008E6B8C">
                        <w:rPr>
                          <w:rFonts w:cs="Arial"/>
                          <w:b/>
                          <w:bCs/>
                        </w:rPr>
                        <w:t xml:space="preserve">in early </w:t>
                      </w:r>
                      <w:r w:rsidR="008E6B8C" w:rsidRPr="008E6B8C">
                        <w:rPr>
                          <w:rFonts w:cs="Arial"/>
                          <w:b/>
                          <w:bCs/>
                        </w:rPr>
                        <w:t>October</w:t>
                      </w:r>
                      <w:r w:rsidR="00DC72BC" w:rsidRPr="008E6B8C">
                        <w:rPr>
                          <w:rFonts w:cs="Arial"/>
                          <w:b/>
                          <w:bCs/>
                        </w:rPr>
                        <w:t xml:space="preserve"> </w:t>
                      </w:r>
                      <w:r w:rsidRPr="008E6B8C">
                        <w:rPr>
                          <w:rFonts w:cs="Arial"/>
                          <w:b/>
                          <w:bCs/>
                        </w:rPr>
                        <w:t xml:space="preserve">and will </w:t>
                      </w:r>
                      <w:r w:rsidRPr="008E6B8C">
                        <w:rPr>
                          <w:rFonts w:cs="Arial"/>
                          <w:b/>
                          <w:bCs/>
                          <w:color w:val="FF0000"/>
                        </w:rPr>
                        <w:t xml:space="preserve">close at </w:t>
                      </w:r>
                      <w:r w:rsidR="008E6B8C" w:rsidRPr="008E6B8C">
                        <w:rPr>
                          <w:rFonts w:cs="Arial"/>
                          <w:b/>
                          <w:bCs/>
                          <w:color w:val="FF0000"/>
                        </w:rPr>
                        <w:t>10am</w:t>
                      </w:r>
                      <w:r w:rsidR="0036112F" w:rsidRPr="008E6B8C">
                        <w:rPr>
                          <w:rFonts w:cs="Arial"/>
                          <w:b/>
                          <w:bCs/>
                          <w:color w:val="FF0000"/>
                        </w:rPr>
                        <w:t xml:space="preserve"> on </w:t>
                      </w:r>
                      <w:r w:rsidR="008E6B8C" w:rsidRPr="008E6B8C">
                        <w:rPr>
                          <w:rFonts w:cs="Arial"/>
                          <w:b/>
                          <w:bCs/>
                          <w:color w:val="FF0000"/>
                        </w:rPr>
                        <w:t>Monday 11 November</w:t>
                      </w:r>
                      <w:r w:rsidR="00DF6194" w:rsidRPr="008E6B8C">
                        <w:rPr>
                          <w:rFonts w:cs="Arial"/>
                          <w:b/>
                          <w:bCs/>
                          <w:color w:val="FF0000"/>
                        </w:rPr>
                        <w:t xml:space="preserve"> 2024</w:t>
                      </w:r>
                      <w:r w:rsidR="001C6231" w:rsidRPr="008E6B8C">
                        <w:rPr>
                          <w:rFonts w:cs="Arial"/>
                          <w:color w:val="FF0000"/>
                        </w:rPr>
                        <w:t xml:space="preserve">. </w:t>
                      </w:r>
                    </w:p>
                    <w:p w14:paraId="3968F99C" w14:textId="0CF689E8" w:rsidR="00DC72BC" w:rsidRPr="008E6B8C" w:rsidRDefault="00DC72BC" w:rsidP="00DC72BC">
                      <w:pPr>
                        <w:pStyle w:val="ListParagraph"/>
                        <w:numPr>
                          <w:ilvl w:val="0"/>
                          <w:numId w:val="2"/>
                        </w:numPr>
                        <w:rPr>
                          <w:rFonts w:cs="Arial"/>
                          <w:color w:val="1C1C1C"/>
                        </w:rPr>
                      </w:pPr>
                      <w:r w:rsidRPr="008E6B8C">
                        <w:rPr>
                          <w:rFonts w:cs="Arial"/>
                          <w:color w:val="1C1C1C"/>
                        </w:rPr>
                        <w:t>There is no need to resubmit earlier applications.</w:t>
                      </w:r>
                    </w:p>
                    <w:p w14:paraId="3551B649" w14:textId="77777777" w:rsidR="001B2A57" w:rsidRPr="008E6B8C" w:rsidRDefault="001B2A57" w:rsidP="001B2A57">
                      <w:pPr>
                        <w:rPr>
                          <w:rFonts w:cs="Arial"/>
                          <w:color w:val="1C1C1C"/>
                        </w:rPr>
                      </w:pPr>
                    </w:p>
                    <w:p w14:paraId="41839E5D" w14:textId="77777777" w:rsidR="008E6B8C" w:rsidRDefault="000F74D4" w:rsidP="00CF21C6">
                      <w:pPr>
                        <w:rPr>
                          <w:rFonts w:cs="Arial"/>
                          <w:color w:val="1C1C1C"/>
                        </w:rPr>
                      </w:pPr>
                      <w:r w:rsidRPr="008E6B8C">
                        <w:rPr>
                          <w:rFonts w:cs="Arial"/>
                          <w:b/>
                          <w:bCs/>
                          <w:color w:val="1C1C1C"/>
                        </w:rPr>
                        <w:t>Please note:</w:t>
                      </w:r>
                      <w:r w:rsidRPr="008E6B8C">
                        <w:rPr>
                          <w:rFonts w:cs="Arial"/>
                          <w:color w:val="1C1C1C"/>
                        </w:rPr>
                        <w:t xml:space="preserve"> </w:t>
                      </w:r>
                    </w:p>
                    <w:p w14:paraId="0CA8056E" w14:textId="2A98C328" w:rsidR="0036112F" w:rsidRPr="008E6B8C" w:rsidRDefault="000F74D4" w:rsidP="008E6B8C">
                      <w:pPr>
                        <w:pStyle w:val="ListParagraph"/>
                        <w:numPr>
                          <w:ilvl w:val="0"/>
                          <w:numId w:val="23"/>
                        </w:numPr>
                        <w:rPr>
                          <w:rFonts w:cs="Arial"/>
                          <w:color w:val="1C1C1C"/>
                        </w:rPr>
                      </w:pPr>
                      <w:r w:rsidRPr="008E6B8C">
                        <w:rPr>
                          <w:rFonts w:cs="Arial"/>
                          <w:color w:val="1C1C1C"/>
                        </w:rPr>
                        <w:t>Funding is required to be spent and fully utilised by 31 March 2025, and chosen courses and formal education must start before 31 March 2025</w:t>
                      </w:r>
                      <w:r w:rsidR="00E94AA0" w:rsidRPr="008E6B8C">
                        <w:rPr>
                          <w:rFonts w:cs="Arial"/>
                          <w:color w:val="1C1C1C"/>
                        </w:rPr>
                        <w:t>.</w:t>
                      </w:r>
                    </w:p>
                    <w:p w14:paraId="69237C48" w14:textId="527AB2C3" w:rsidR="008E6B8C" w:rsidRPr="008E6B8C" w:rsidRDefault="008E6B8C" w:rsidP="008E6B8C">
                      <w:pPr>
                        <w:pStyle w:val="ListParagraph"/>
                        <w:numPr>
                          <w:ilvl w:val="0"/>
                          <w:numId w:val="23"/>
                        </w:numPr>
                        <w:rPr>
                          <w:rFonts w:cs="Arial"/>
                          <w:color w:val="1C1C1C"/>
                        </w:rPr>
                      </w:pPr>
                      <w:r w:rsidRPr="008E6B8C">
                        <w:rPr>
                          <w:rFonts w:cs="Arial"/>
                          <w:color w:val="1C1C1C"/>
                        </w:rPr>
                        <w:t xml:space="preserve">If approved and all requested information received, funding will be paid </w:t>
                      </w:r>
                      <w:r>
                        <w:rPr>
                          <w:rFonts w:cs="Arial"/>
                          <w:color w:val="1C1C1C"/>
                        </w:rPr>
                        <w:t xml:space="preserve">directly </w:t>
                      </w:r>
                      <w:r w:rsidRPr="008E6B8C">
                        <w:rPr>
                          <w:rFonts w:cs="Arial"/>
                          <w:color w:val="1C1C1C"/>
                        </w:rPr>
                        <w:t xml:space="preserve">to organisations in the January 2025 </w:t>
                      </w:r>
                      <w:r w:rsidR="008B6B75">
                        <w:rPr>
                          <w:rFonts w:cs="Arial"/>
                          <w:color w:val="1C1C1C"/>
                        </w:rPr>
                        <w:t xml:space="preserve">NHSE </w:t>
                      </w:r>
                      <w:r w:rsidRPr="008E6B8C">
                        <w:rPr>
                          <w:rFonts w:cs="Arial"/>
                          <w:color w:val="1C1C1C"/>
                        </w:rPr>
                        <w:t xml:space="preserve">education funding agreement schedule. </w:t>
                      </w:r>
                    </w:p>
                  </w:txbxContent>
                </v:textbox>
                <w10:wrap type="square" anchorx="margin"/>
              </v:shape>
            </w:pict>
          </mc:Fallback>
        </mc:AlternateContent>
      </w:r>
      <w:r w:rsidR="0036112F" w:rsidRPr="004B3B37">
        <w:rPr>
          <w:bCs/>
          <w:color w:val="0072CE"/>
        </w:rPr>
        <w:t xml:space="preserve">For any queries about this funding or details within this document, please contact the </w:t>
      </w:r>
      <w:r w:rsidR="0036112F" w:rsidRPr="00341E2F">
        <w:rPr>
          <w:b/>
          <w:color w:val="0072CE"/>
        </w:rPr>
        <w:t>NHS England South East Cancer and Diagnostic Programme</w:t>
      </w:r>
      <w:r w:rsidR="00E3695A" w:rsidRPr="00341E2F">
        <w:rPr>
          <w:b/>
          <w:color w:val="0072CE"/>
        </w:rPr>
        <w:t xml:space="preserve">, </w:t>
      </w:r>
      <w:r w:rsidR="00E3695A" w:rsidRPr="00341E2F">
        <w:rPr>
          <w:bCs/>
          <w:color w:val="0072CE"/>
        </w:rPr>
        <w:t>part of the</w:t>
      </w:r>
      <w:r w:rsidR="00E3695A" w:rsidRPr="00341E2F">
        <w:rPr>
          <w:b/>
          <w:color w:val="0072CE"/>
        </w:rPr>
        <w:t xml:space="preserve"> Workforce, Training &amp; Education </w:t>
      </w:r>
      <w:r w:rsidR="00984192">
        <w:rPr>
          <w:b/>
          <w:color w:val="0072CE"/>
        </w:rPr>
        <w:t>D</w:t>
      </w:r>
      <w:r w:rsidR="00E3695A" w:rsidRPr="00341E2F">
        <w:rPr>
          <w:b/>
          <w:color w:val="0072CE"/>
        </w:rPr>
        <w:t>irectorate</w:t>
      </w:r>
      <w:r w:rsidR="0036112F" w:rsidRPr="004B3B37">
        <w:rPr>
          <w:bCs/>
          <w:color w:val="0072CE"/>
        </w:rPr>
        <w:t>,</w:t>
      </w:r>
      <w:r w:rsidR="0036112F" w:rsidRPr="00492D26">
        <w:rPr>
          <w:bCs/>
          <w:color w:val="005EB8" w:themeColor="text1"/>
        </w:rPr>
        <w:t xml:space="preserve"> </w:t>
      </w:r>
      <w:hyperlink r:id="rId11" w:history="1">
        <w:r w:rsidR="00984192" w:rsidRPr="00A665DB">
          <w:rPr>
            <w:rStyle w:val="Hyperlink"/>
            <w:bCs/>
          </w:rPr>
          <w:t>england.canceranddiagnostics.se@nhs.net</w:t>
        </w:r>
      </w:hyperlink>
      <w:r w:rsidR="00984192">
        <w:rPr>
          <w:bCs/>
          <w:color w:val="005EB8" w:themeColor="text1"/>
        </w:rPr>
        <w:t xml:space="preserve"> </w:t>
      </w:r>
      <w:r w:rsidR="00984192" w:rsidRPr="00984192">
        <w:rPr>
          <w:bCs/>
          <w:color w:val="005EB8" w:themeColor="text1"/>
        </w:rPr>
        <w:t xml:space="preserve"> </w:t>
      </w:r>
      <w:r w:rsidR="00984192">
        <w:rPr>
          <w:bCs/>
          <w:color w:val="005EB8" w:themeColor="text1"/>
        </w:rPr>
        <w:t xml:space="preserve"> </w:t>
      </w:r>
      <w:hyperlink r:id="rId12" w:history="1"/>
      <w:r w:rsidR="006C6C42">
        <w:rPr>
          <w:rStyle w:val="Hyperlink"/>
          <w:rFonts w:asciiTheme="minorHAnsi" w:hAnsiTheme="minorHAnsi" w:cstheme="minorHAnsi"/>
          <w:bCs/>
        </w:rPr>
        <w:t xml:space="preserve"> </w:t>
      </w:r>
    </w:p>
    <w:p w14:paraId="3548F455" w14:textId="60260C0A" w:rsidR="0036112F" w:rsidRDefault="0036112F" w:rsidP="00107CF7"/>
    <w:p w14:paraId="12D6CA45" w14:textId="77777777" w:rsidR="00401083" w:rsidRPr="00812726" w:rsidRDefault="00401083" w:rsidP="00401083">
      <w:pPr>
        <w:jc w:val="both"/>
        <w:rPr>
          <w:rFonts w:cs="Arial"/>
          <w:b/>
          <w:bCs/>
          <w:color w:val="0072CE"/>
          <w:sz w:val="32"/>
          <w:szCs w:val="32"/>
        </w:rPr>
      </w:pPr>
      <w:r w:rsidRPr="00FD733E">
        <w:rPr>
          <w:b/>
          <w:bCs/>
          <w:color w:val="00A9CE"/>
          <w:sz w:val="36"/>
          <w:szCs w:val="36"/>
        </w:rPr>
        <w:t>Overview</w:t>
      </w:r>
    </w:p>
    <w:p w14:paraId="5892A55E" w14:textId="77777777" w:rsidR="008F08D4" w:rsidRPr="00545551" w:rsidRDefault="008F08D4" w:rsidP="00FA7816">
      <w:pPr>
        <w:spacing w:after="24" w:line="276" w:lineRule="auto"/>
        <w:jc w:val="both"/>
        <w:rPr>
          <w:rFonts w:cs="Arial"/>
          <w:b/>
          <w:bCs/>
          <w:lang w:val="en-US"/>
        </w:rPr>
      </w:pPr>
    </w:p>
    <w:p w14:paraId="00DBAB8B" w14:textId="4350FD02" w:rsidR="00886689" w:rsidRPr="00D532A2" w:rsidRDefault="00886689" w:rsidP="00254C8A">
      <w:pPr>
        <w:pStyle w:val="Heading2"/>
        <w:rPr>
          <w:b w:val="0"/>
          <w:bCs w:val="0"/>
          <w:color w:val="auto"/>
          <w:sz w:val="24"/>
          <w:szCs w:val="24"/>
        </w:rPr>
      </w:pPr>
      <w:r w:rsidRPr="00D532A2">
        <w:rPr>
          <w:b w:val="0"/>
          <w:bCs w:val="0"/>
          <w:color w:val="auto"/>
          <w:sz w:val="24"/>
          <w:szCs w:val="24"/>
        </w:rPr>
        <w:t xml:space="preserve">To support meeting challenges in the pathology workforce and to promote the tangible benefits apprenticeships bring to the NHS, NHS England </w:t>
      </w:r>
      <w:r w:rsidR="003218AE">
        <w:rPr>
          <w:b w:val="0"/>
          <w:bCs w:val="0"/>
          <w:color w:val="auto"/>
          <w:sz w:val="24"/>
          <w:szCs w:val="24"/>
        </w:rPr>
        <w:t xml:space="preserve">have previously offered </w:t>
      </w:r>
      <w:r w:rsidRPr="00D532A2">
        <w:rPr>
          <w:b w:val="0"/>
          <w:bCs w:val="0"/>
          <w:color w:val="auto"/>
          <w:sz w:val="24"/>
          <w:szCs w:val="24"/>
        </w:rPr>
        <w:t>training grants for employers to develop apprenticeships in pathology and life sciences.</w:t>
      </w:r>
      <w:r w:rsidR="003218AE">
        <w:rPr>
          <w:b w:val="0"/>
          <w:bCs w:val="0"/>
          <w:color w:val="auto"/>
          <w:sz w:val="24"/>
          <w:szCs w:val="24"/>
        </w:rPr>
        <w:t xml:space="preserve"> We hope to be able to offer this funding in 2024/25</w:t>
      </w:r>
      <w:r w:rsidR="00EE59A4">
        <w:rPr>
          <w:b w:val="0"/>
          <w:bCs w:val="0"/>
          <w:color w:val="auto"/>
          <w:sz w:val="24"/>
          <w:szCs w:val="24"/>
        </w:rPr>
        <w:t>; at this stage this is</w:t>
      </w:r>
      <w:r w:rsidR="00B60A81">
        <w:rPr>
          <w:b w:val="0"/>
          <w:bCs w:val="0"/>
          <w:color w:val="auto"/>
          <w:sz w:val="24"/>
          <w:szCs w:val="24"/>
        </w:rPr>
        <w:t xml:space="preserve"> still</w:t>
      </w:r>
      <w:r w:rsidR="00EE59A4">
        <w:rPr>
          <w:b w:val="0"/>
          <w:bCs w:val="0"/>
          <w:color w:val="auto"/>
          <w:sz w:val="24"/>
          <w:szCs w:val="24"/>
        </w:rPr>
        <w:t xml:space="preserve"> to be confirmed.</w:t>
      </w:r>
    </w:p>
    <w:p w14:paraId="12C375AC" w14:textId="1CB0393E" w:rsidR="00FD7AFC" w:rsidRPr="00D532A2" w:rsidRDefault="00FD7AFC" w:rsidP="00254C8A">
      <w:pPr>
        <w:pStyle w:val="Heading2"/>
        <w:rPr>
          <w:b w:val="0"/>
          <w:bCs w:val="0"/>
          <w:color w:val="auto"/>
          <w:sz w:val="24"/>
          <w:szCs w:val="24"/>
        </w:rPr>
      </w:pPr>
      <w:r w:rsidRPr="00D532A2">
        <w:rPr>
          <w:b w:val="0"/>
          <w:bCs w:val="0"/>
          <w:color w:val="auto"/>
          <w:sz w:val="24"/>
          <w:szCs w:val="24"/>
        </w:rPr>
        <w:t xml:space="preserve">Apprenticeships are work-based training programmes which are designed to help employers train people for specific job roles. At the same time, apprentices get a paying job with valuable training while they work towards a nationally recognised apprenticeship </w:t>
      </w:r>
      <w:r w:rsidR="00177D7C">
        <w:rPr>
          <w:b w:val="0"/>
          <w:bCs w:val="0"/>
          <w:color w:val="auto"/>
          <w:sz w:val="24"/>
          <w:szCs w:val="24"/>
        </w:rPr>
        <w:t>qualification</w:t>
      </w:r>
      <w:r w:rsidRPr="00D532A2">
        <w:rPr>
          <w:b w:val="0"/>
          <w:bCs w:val="0"/>
          <w:color w:val="auto"/>
          <w:sz w:val="24"/>
          <w:szCs w:val="24"/>
        </w:rPr>
        <w:t xml:space="preserve">. </w:t>
      </w:r>
      <w:r w:rsidR="00886689" w:rsidRPr="00D532A2">
        <w:rPr>
          <w:b w:val="0"/>
          <w:bCs w:val="0"/>
          <w:color w:val="auto"/>
          <w:sz w:val="24"/>
          <w:szCs w:val="24"/>
        </w:rPr>
        <w:t>Apprenticeships can create skilled, motivated and qualified employees and, if used properly, can help to address skills shortages across the workforce.</w:t>
      </w:r>
    </w:p>
    <w:p w14:paraId="7CC07B02" w14:textId="1078DA4F" w:rsidR="00D532A2" w:rsidRPr="00D532A2" w:rsidRDefault="00D532A2" w:rsidP="00344DE1">
      <w:pPr>
        <w:spacing w:after="200" w:line="276" w:lineRule="auto"/>
      </w:pPr>
      <w:r w:rsidRPr="00D532A2">
        <w:t xml:space="preserve">The overarching aims of this </w:t>
      </w:r>
      <w:r w:rsidR="00436089">
        <w:t xml:space="preserve">pathology apprenticeship </w:t>
      </w:r>
      <w:r w:rsidR="00A13FC6">
        <w:t xml:space="preserve">training grant </w:t>
      </w:r>
      <w:r w:rsidRPr="00D532A2">
        <w:t xml:space="preserve">funding offer is to: </w:t>
      </w:r>
    </w:p>
    <w:p w14:paraId="7F3BED04" w14:textId="136B7BD9" w:rsidR="00D532A2" w:rsidRDefault="00D532A2" w:rsidP="00344DE1">
      <w:pPr>
        <w:pStyle w:val="ListParagraph"/>
        <w:numPr>
          <w:ilvl w:val="0"/>
          <w:numId w:val="14"/>
        </w:numPr>
        <w:spacing w:after="200" w:line="276" w:lineRule="auto"/>
      </w:pPr>
      <w:r>
        <w:t>Support Trusts in developing the pathology workforce</w:t>
      </w:r>
      <w:r w:rsidR="00376DC2">
        <w:t>, particularly within healthcare science,</w:t>
      </w:r>
      <w:r>
        <w:t xml:space="preserve"> and develop the pipeline of individuals along the career pathway </w:t>
      </w:r>
    </w:p>
    <w:p w14:paraId="3900A4DF" w14:textId="77777777" w:rsidR="00D532A2" w:rsidRDefault="00D532A2" w:rsidP="00344DE1">
      <w:pPr>
        <w:pStyle w:val="ListParagraph"/>
        <w:numPr>
          <w:ilvl w:val="0"/>
          <w:numId w:val="14"/>
        </w:numPr>
        <w:spacing w:after="200" w:line="276" w:lineRule="auto"/>
      </w:pPr>
      <w:r>
        <w:t xml:space="preserve">Support existing staff to develop in their roles and along the career pathway </w:t>
      </w:r>
    </w:p>
    <w:p w14:paraId="68C1C092" w14:textId="295517E6" w:rsidR="00D532A2" w:rsidRDefault="00D532A2" w:rsidP="00344DE1">
      <w:pPr>
        <w:pStyle w:val="ListParagraph"/>
        <w:numPr>
          <w:ilvl w:val="0"/>
          <w:numId w:val="14"/>
        </w:numPr>
        <w:spacing w:after="200" w:line="276" w:lineRule="auto"/>
      </w:pPr>
      <w:r>
        <w:t xml:space="preserve">Increase access to and provide new routes into </w:t>
      </w:r>
      <w:r w:rsidR="006C3288">
        <w:t xml:space="preserve">pathology </w:t>
      </w:r>
      <w:r>
        <w:t>through supporting the apprenticeship pathways</w:t>
      </w:r>
    </w:p>
    <w:p w14:paraId="5FF07CE0" w14:textId="77777777" w:rsidR="006118A5" w:rsidRPr="00315BD2" w:rsidRDefault="006118A5" w:rsidP="00FD733E">
      <w:pPr>
        <w:jc w:val="both"/>
        <w:rPr>
          <w:rFonts w:cs="Arial"/>
          <w:b/>
          <w:bCs/>
          <w:iCs/>
          <w:color w:val="333333"/>
          <w:sz w:val="28"/>
          <w:szCs w:val="28"/>
        </w:rPr>
      </w:pPr>
    </w:p>
    <w:p w14:paraId="526C7C43" w14:textId="5B5EEE97" w:rsidR="00401083" w:rsidRPr="00B07B65" w:rsidRDefault="00401083" w:rsidP="00401083">
      <w:pPr>
        <w:jc w:val="both"/>
        <w:rPr>
          <w:rFonts w:cs="Arial"/>
          <w:b/>
          <w:bCs/>
          <w:iCs/>
          <w:color w:val="003893"/>
          <w:sz w:val="28"/>
          <w:szCs w:val="28"/>
        </w:rPr>
      </w:pPr>
      <w:r w:rsidRPr="00B07B65">
        <w:rPr>
          <w:rFonts w:cs="Arial"/>
          <w:b/>
          <w:bCs/>
          <w:iCs/>
          <w:color w:val="003893"/>
          <w:sz w:val="28"/>
          <w:szCs w:val="28"/>
        </w:rPr>
        <w:t>The funding offer</w:t>
      </w:r>
    </w:p>
    <w:p w14:paraId="56EFEE0F" w14:textId="77777777" w:rsidR="00011C65" w:rsidRDefault="00011C65" w:rsidP="001A03A4"/>
    <w:p w14:paraId="569579C7" w14:textId="41298AAF" w:rsidR="00011C65" w:rsidRPr="00D13B51" w:rsidRDefault="00886689" w:rsidP="001A03A4">
      <w:pPr>
        <w:rPr>
          <w:rFonts w:cs="Arial"/>
          <w:lang w:val="en-US"/>
        </w:rPr>
      </w:pPr>
      <w:r w:rsidRPr="00D13B51">
        <w:t xml:space="preserve">To help grow and transform the pathology workforce, NHS England </w:t>
      </w:r>
      <w:r w:rsidR="00267D31" w:rsidRPr="00D13B51">
        <w:t xml:space="preserve">is offering </w:t>
      </w:r>
      <w:proofErr w:type="gramStart"/>
      <w:r w:rsidR="000F74D4" w:rsidRPr="00D13B51">
        <w:t xml:space="preserve">a </w:t>
      </w:r>
      <w:r w:rsidRPr="00D13B51">
        <w:t>number of</w:t>
      </w:r>
      <w:proofErr w:type="gramEnd"/>
      <w:r w:rsidRPr="00D13B51">
        <w:t xml:space="preserve"> training support grants to NHS Trusts </w:t>
      </w:r>
      <w:r w:rsidRPr="00192AE4">
        <w:t>of £10,</w:t>
      </w:r>
      <w:r w:rsidR="00C51BFD">
        <w:t>612</w:t>
      </w:r>
      <w:r w:rsidRPr="00192AE4">
        <w:t xml:space="preserve"> (per student) for</w:t>
      </w:r>
      <w:r w:rsidRPr="00D13B51">
        <w:t xml:space="preserve"> those starting an apprenticeship programme in 2024/25</w:t>
      </w:r>
      <w:r w:rsidR="001B2A57" w:rsidRPr="00D13B51">
        <w:t xml:space="preserve">. Apprenticeship programmes must be </w:t>
      </w:r>
      <w:r w:rsidR="00D13B51" w:rsidRPr="00D13B51">
        <w:t xml:space="preserve">in </w:t>
      </w:r>
      <w:r w:rsidR="00FD7AFC" w:rsidRPr="00D13B51">
        <w:rPr>
          <w:rFonts w:cs="Arial"/>
          <w:lang w:val="en-US"/>
        </w:rPr>
        <w:t xml:space="preserve">Pathology and Life Sciences </w:t>
      </w:r>
      <w:r w:rsidR="001B2A57" w:rsidRPr="00D13B51">
        <w:rPr>
          <w:rFonts w:cs="Arial"/>
          <w:lang w:val="en-US"/>
        </w:rPr>
        <w:t>at</w:t>
      </w:r>
      <w:r w:rsidR="00FD7AFC" w:rsidRPr="00D13B51">
        <w:rPr>
          <w:rFonts w:cs="Arial"/>
          <w:lang w:val="en-US"/>
        </w:rPr>
        <w:t xml:space="preserve"> Level</w:t>
      </w:r>
      <w:r w:rsidR="001B6987" w:rsidRPr="00D13B51">
        <w:rPr>
          <w:rFonts w:cs="Arial"/>
          <w:lang w:val="en-US"/>
        </w:rPr>
        <w:t>s</w:t>
      </w:r>
      <w:r w:rsidR="00FD7AFC" w:rsidRPr="00D13B51">
        <w:rPr>
          <w:rFonts w:cs="Arial"/>
          <w:lang w:val="en-US"/>
        </w:rPr>
        <w:t xml:space="preserve">, 2, 4 </w:t>
      </w:r>
      <w:r w:rsidR="001B6987" w:rsidRPr="00D13B51">
        <w:rPr>
          <w:rFonts w:cs="Arial"/>
          <w:lang w:val="en-US"/>
        </w:rPr>
        <w:t xml:space="preserve">or </w:t>
      </w:r>
      <w:r w:rsidR="00FD7AFC" w:rsidRPr="00D13B51">
        <w:rPr>
          <w:rFonts w:cs="Arial"/>
          <w:lang w:val="en-US"/>
        </w:rPr>
        <w:t>6.</w:t>
      </w:r>
      <w:r w:rsidRPr="00D13B51">
        <w:rPr>
          <w:rFonts w:cs="Arial"/>
          <w:lang w:val="en-US"/>
        </w:rPr>
        <w:t xml:space="preserve"> </w:t>
      </w:r>
      <w:r w:rsidR="00FD7AFC" w:rsidRPr="00D13B51">
        <w:rPr>
          <w:rFonts w:cs="Arial"/>
          <w:lang w:val="en-US"/>
        </w:rPr>
        <w:t>This can include apprenticeships in Life Science, Blood Science, Cellular Sciences</w:t>
      </w:r>
      <w:r w:rsidR="001A03A4" w:rsidRPr="00D13B51">
        <w:rPr>
          <w:rFonts w:cs="Arial"/>
          <w:lang w:val="en-US"/>
        </w:rPr>
        <w:t xml:space="preserve">, </w:t>
      </w:r>
      <w:r w:rsidR="00FD7AFC" w:rsidRPr="00D13B51">
        <w:rPr>
          <w:rFonts w:cs="Arial"/>
          <w:lang w:val="en-US"/>
        </w:rPr>
        <w:t>Infection Sciences</w:t>
      </w:r>
      <w:r w:rsidR="001B6987" w:rsidRPr="00D13B51">
        <w:rPr>
          <w:rFonts w:cs="Arial"/>
          <w:lang w:val="en-US"/>
        </w:rPr>
        <w:t>,</w:t>
      </w:r>
      <w:r w:rsidR="001A03A4" w:rsidRPr="00D13B51">
        <w:rPr>
          <w:rFonts w:cs="Arial"/>
          <w:lang w:val="en-US"/>
        </w:rPr>
        <w:t xml:space="preserve"> Point of Care Testing, </w:t>
      </w:r>
      <w:r w:rsidR="00FD7AFC" w:rsidRPr="00D13B51">
        <w:rPr>
          <w:rFonts w:cs="Arial"/>
          <w:lang w:val="en-US"/>
        </w:rPr>
        <w:t xml:space="preserve">as </w:t>
      </w:r>
      <w:r w:rsidRPr="00D13B51">
        <w:rPr>
          <w:rFonts w:cs="Arial"/>
          <w:lang w:val="en-US"/>
        </w:rPr>
        <w:t>w</w:t>
      </w:r>
      <w:r w:rsidR="00FD7AFC" w:rsidRPr="00D13B51">
        <w:rPr>
          <w:rFonts w:cs="Arial"/>
          <w:lang w:val="en-US"/>
        </w:rPr>
        <w:t>ell as other relevant disciplines.</w:t>
      </w:r>
      <w:r w:rsidR="001A03A4" w:rsidRPr="00D13B51">
        <w:rPr>
          <w:rFonts w:cs="Arial"/>
          <w:lang w:val="en-US"/>
        </w:rPr>
        <w:t xml:space="preserve"> </w:t>
      </w:r>
    </w:p>
    <w:p w14:paraId="6AE2917F" w14:textId="77777777" w:rsidR="00011C65" w:rsidRPr="00D13B51" w:rsidRDefault="00011C65" w:rsidP="001A03A4">
      <w:pPr>
        <w:rPr>
          <w:rFonts w:cs="Arial"/>
          <w:lang w:val="en-US"/>
        </w:rPr>
      </w:pPr>
    </w:p>
    <w:p w14:paraId="7FADD351" w14:textId="77777777" w:rsidR="00371892" w:rsidRDefault="00C51BFD" w:rsidP="001A03A4">
      <w:pPr>
        <w:rPr>
          <w:rFonts w:cs="Arial"/>
          <w:lang w:val="en-US"/>
        </w:rPr>
      </w:pPr>
      <w:r w:rsidRPr="00C51BFD">
        <w:rPr>
          <w:rFonts w:cs="Arial"/>
          <w:lang w:val="en-US"/>
        </w:rPr>
        <w:t>The breakdown for the apprenticeship training grant will (per apprentice)</w:t>
      </w:r>
      <w:r>
        <w:rPr>
          <w:rFonts w:cs="Arial"/>
          <w:lang w:val="en-US"/>
        </w:rPr>
        <w:t xml:space="preserve"> is</w:t>
      </w:r>
      <w:r w:rsidRPr="00C51BFD">
        <w:rPr>
          <w:rFonts w:cs="Arial"/>
          <w:lang w:val="en-US"/>
        </w:rPr>
        <w:t xml:space="preserve"> a £10,612 training grant </w:t>
      </w:r>
      <w:r>
        <w:rPr>
          <w:rFonts w:cs="Arial"/>
          <w:lang w:val="en-US"/>
        </w:rPr>
        <w:t xml:space="preserve">managed </w:t>
      </w:r>
      <w:r w:rsidRPr="00C51BFD">
        <w:rPr>
          <w:rFonts w:cs="Arial"/>
          <w:lang w:val="en-US"/>
        </w:rPr>
        <w:t xml:space="preserve">as a pro-rata payment in the current financial year, with £6,155 being paid in 2024/25 and the remaining £4,457 being paid in 2025/26. This funding model is fixed and is not dependent on when in 2024/25 </w:t>
      </w:r>
      <w:r>
        <w:rPr>
          <w:rFonts w:cs="Arial"/>
          <w:lang w:val="en-US"/>
        </w:rPr>
        <w:t xml:space="preserve">an </w:t>
      </w:r>
      <w:r w:rsidRPr="00C51BFD">
        <w:rPr>
          <w:rFonts w:cs="Arial"/>
          <w:lang w:val="en-US"/>
        </w:rPr>
        <w:t>apprentice starts on their programme.</w:t>
      </w:r>
      <w:r>
        <w:rPr>
          <w:rFonts w:cs="Arial"/>
          <w:lang w:val="en-US"/>
        </w:rPr>
        <w:t xml:space="preserve"> </w:t>
      </w:r>
    </w:p>
    <w:p w14:paraId="2CA0F7EE" w14:textId="77777777" w:rsidR="00371892" w:rsidRDefault="00371892" w:rsidP="001A03A4">
      <w:pPr>
        <w:rPr>
          <w:rFonts w:cs="Arial"/>
          <w:lang w:val="en-US"/>
        </w:rPr>
      </w:pPr>
    </w:p>
    <w:p w14:paraId="458EED59" w14:textId="77777777" w:rsidR="00486C31" w:rsidRPr="00427D08" w:rsidRDefault="00371892" w:rsidP="00486C31">
      <w:pPr>
        <w:rPr>
          <w:rFonts w:cs="Arial"/>
          <w:color w:val="FF0000"/>
          <w:lang w:val="en-US"/>
        </w:rPr>
      </w:pPr>
      <w:r w:rsidRPr="00371892">
        <w:rPr>
          <w:rFonts w:cs="Arial"/>
          <w:lang w:val="en-US"/>
        </w:rPr>
        <w:t xml:space="preserve">Payments will be made via the NHSE Education Funding </w:t>
      </w:r>
      <w:r w:rsidR="001D6B5E">
        <w:rPr>
          <w:rFonts w:cs="Arial"/>
          <w:lang w:val="en-US"/>
        </w:rPr>
        <w:t xml:space="preserve">Agreement </w:t>
      </w:r>
      <w:r w:rsidRPr="00371892">
        <w:rPr>
          <w:rFonts w:cs="Arial"/>
          <w:lang w:val="en-US"/>
        </w:rPr>
        <w:t>schedule to the employing Trust and will not be made until an apprentice name and further details relating to their programme is provided.</w:t>
      </w:r>
      <w:r w:rsidR="00351E41" w:rsidRPr="00351E41">
        <w:t xml:space="preserve"> </w:t>
      </w:r>
      <w:r w:rsidR="00351E41" w:rsidRPr="00351E41">
        <w:rPr>
          <w:rFonts w:cs="Arial"/>
          <w:lang w:val="en-US"/>
        </w:rPr>
        <w:t xml:space="preserve">The expectation for this funding offer is that all 2024/25 pro-rata payments will be made by the January </w:t>
      </w:r>
      <w:r w:rsidR="001D6B5E">
        <w:rPr>
          <w:rFonts w:cs="Arial"/>
          <w:lang w:val="en-US"/>
        </w:rPr>
        <w:t xml:space="preserve">2025 </w:t>
      </w:r>
      <w:r w:rsidR="00351E41" w:rsidRPr="00351E41">
        <w:rPr>
          <w:rFonts w:cs="Arial"/>
          <w:lang w:val="en-US"/>
        </w:rPr>
        <w:t>scheduled payment to Trusts.</w:t>
      </w:r>
      <w:r w:rsidR="00486C31">
        <w:rPr>
          <w:rFonts w:cs="Arial"/>
          <w:lang w:val="en-US"/>
        </w:rPr>
        <w:t xml:space="preserve"> </w:t>
      </w:r>
      <w:r w:rsidR="00486C31" w:rsidRPr="00427D08">
        <w:rPr>
          <w:rFonts w:cs="Arial"/>
          <w:color w:val="FF0000"/>
          <w:lang w:val="en-US"/>
        </w:rPr>
        <w:t xml:space="preserve">If confirmation that your learner has successfully applied to the relevant education provider arrives </w:t>
      </w:r>
      <w:r w:rsidR="00486C31" w:rsidRPr="00A44D63">
        <w:rPr>
          <w:rFonts w:cs="Arial"/>
          <w:b/>
          <w:bCs/>
          <w:i/>
          <w:iCs/>
          <w:color w:val="FF0000"/>
          <w:lang w:val="en-US"/>
        </w:rPr>
        <w:t>after</w:t>
      </w:r>
      <w:r w:rsidR="00486C31" w:rsidRPr="00427D08">
        <w:rPr>
          <w:rFonts w:cs="Arial"/>
          <w:color w:val="FF0000"/>
          <w:lang w:val="en-US"/>
        </w:rPr>
        <w:t xml:space="preserve"> the January financial deadline, please still apply.  </w:t>
      </w:r>
    </w:p>
    <w:p w14:paraId="438CE9E1" w14:textId="77777777" w:rsidR="00C51BFD" w:rsidRDefault="00C51BFD" w:rsidP="001A03A4">
      <w:pPr>
        <w:rPr>
          <w:rFonts w:cs="Arial"/>
          <w:lang w:val="en-US"/>
        </w:rPr>
      </w:pPr>
    </w:p>
    <w:p w14:paraId="2BE2F9AB" w14:textId="532986FF" w:rsidR="001A03A4" w:rsidRPr="00D13B51" w:rsidRDefault="00E328CF" w:rsidP="001A03A4">
      <w:pPr>
        <w:rPr>
          <w:rFonts w:cs="Arial"/>
          <w:lang w:val="en-US"/>
        </w:rPr>
      </w:pPr>
      <w:r w:rsidRPr="00D13B51">
        <w:rPr>
          <w:rFonts w:cs="Arial"/>
          <w:lang w:val="en-US"/>
        </w:rPr>
        <w:t>If for any reason the apprentice needs to withdraw from</w:t>
      </w:r>
      <w:r w:rsidR="004429AF" w:rsidRPr="00D13B51">
        <w:rPr>
          <w:rFonts w:cs="Arial"/>
          <w:lang w:val="en-US"/>
        </w:rPr>
        <w:t xml:space="preserve"> or is unable to complete</w:t>
      </w:r>
      <w:r w:rsidRPr="00D13B51">
        <w:rPr>
          <w:rFonts w:cs="Arial"/>
          <w:lang w:val="en-US"/>
        </w:rPr>
        <w:t xml:space="preserve"> their programme, funding will need to be returned.</w:t>
      </w:r>
      <w:r w:rsidR="003F0A69" w:rsidRPr="00D13B51">
        <w:t xml:space="preserve"> </w:t>
      </w:r>
    </w:p>
    <w:p w14:paraId="7B4ECEFE" w14:textId="77777777" w:rsidR="001A03A4" w:rsidRPr="00D13B51" w:rsidRDefault="001A03A4" w:rsidP="001A03A4">
      <w:pPr>
        <w:rPr>
          <w:rFonts w:cs="Arial"/>
          <w:lang w:val="en-US"/>
        </w:rPr>
      </w:pPr>
    </w:p>
    <w:p w14:paraId="2F2B1941" w14:textId="0A385F51" w:rsidR="001A03A4" w:rsidRPr="00D13B51" w:rsidRDefault="001A03A4" w:rsidP="001A03A4">
      <w:pPr>
        <w:rPr>
          <w:rFonts w:cs="Arial"/>
          <w:lang w:val="en-US"/>
        </w:rPr>
      </w:pPr>
      <w:r w:rsidRPr="00D13B51">
        <w:rPr>
          <w:rFonts w:cs="Arial"/>
          <w:lang w:val="en-US"/>
        </w:rPr>
        <w:t xml:space="preserve">Training grants should be used by employers to support and facilitate their learners completing a </w:t>
      </w:r>
      <w:proofErr w:type="spellStart"/>
      <w:r w:rsidRPr="00D13B51">
        <w:rPr>
          <w:rFonts w:cs="Arial"/>
          <w:lang w:val="en-US"/>
        </w:rPr>
        <w:t>recognised</w:t>
      </w:r>
      <w:proofErr w:type="spellEnd"/>
      <w:r w:rsidRPr="00D13B51">
        <w:rPr>
          <w:rFonts w:cs="Arial"/>
          <w:lang w:val="en-US"/>
        </w:rPr>
        <w:t xml:space="preserve"> apprenticeship training programme. The</w:t>
      </w:r>
      <w:r w:rsidR="000F74D4" w:rsidRPr="00D13B51">
        <w:rPr>
          <w:rFonts w:cs="Arial"/>
          <w:lang w:val="en-US"/>
        </w:rPr>
        <w:t xml:space="preserve"> funding can be used flexibly and is </w:t>
      </w:r>
      <w:r w:rsidRPr="00D13B51">
        <w:rPr>
          <w:rFonts w:cs="Arial"/>
          <w:lang w:val="en-US"/>
        </w:rPr>
        <w:lastRenderedPageBreak/>
        <w:t xml:space="preserve">intended to help the department with further training costs associated with hosting and supervising apprentices. </w:t>
      </w:r>
    </w:p>
    <w:p w14:paraId="4DB273B1" w14:textId="77777777" w:rsidR="001A03A4" w:rsidRPr="00D13B51" w:rsidRDefault="001A03A4" w:rsidP="001A03A4">
      <w:pPr>
        <w:rPr>
          <w:rFonts w:cs="Arial"/>
          <w:lang w:val="en-US"/>
        </w:rPr>
      </w:pPr>
    </w:p>
    <w:p w14:paraId="6AF30BF9" w14:textId="647DCF74" w:rsidR="000F74D4" w:rsidRPr="00D13B51" w:rsidRDefault="001A03A4" w:rsidP="000F74D4">
      <w:pPr>
        <w:rPr>
          <w:rFonts w:cs="Arial"/>
          <w:lang w:val="en-US"/>
        </w:rPr>
      </w:pPr>
      <w:r w:rsidRPr="00D13B51">
        <w:rPr>
          <w:rFonts w:cs="Arial"/>
          <w:lang w:val="en-US"/>
        </w:rPr>
        <w:t xml:space="preserve">Training grants are not intended to cover salary costs </w:t>
      </w:r>
      <w:r w:rsidR="005B0724" w:rsidRPr="00D13B51">
        <w:rPr>
          <w:rFonts w:cs="Arial"/>
          <w:lang w:val="en-US"/>
        </w:rPr>
        <w:t xml:space="preserve">of the apprentice </w:t>
      </w:r>
      <w:r w:rsidRPr="00D13B51">
        <w:rPr>
          <w:rFonts w:cs="Arial"/>
          <w:lang w:val="en-US"/>
        </w:rPr>
        <w:t>which would need to be met by the employer. Course fees are covered by employer access to the apprenticeship levy</w:t>
      </w:r>
      <w:r w:rsidR="000F74D4" w:rsidRPr="00D13B51">
        <w:rPr>
          <w:rFonts w:cs="Arial"/>
          <w:lang w:val="en-US"/>
        </w:rPr>
        <w:t>.</w:t>
      </w:r>
    </w:p>
    <w:p w14:paraId="5EE419CD" w14:textId="77777777" w:rsidR="00011C65" w:rsidRPr="00D13B51" w:rsidRDefault="00011C65" w:rsidP="000F74D4">
      <w:pPr>
        <w:rPr>
          <w:rFonts w:cs="Arial"/>
          <w:lang w:val="en-US"/>
        </w:rPr>
      </w:pPr>
    </w:p>
    <w:p w14:paraId="6FCCFD35" w14:textId="77777777" w:rsidR="00D13B51" w:rsidRDefault="00011C65" w:rsidP="00D13B51">
      <w:r w:rsidRPr="00D13B51">
        <w:t xml:space="preserve">This offer is open to NHS Trusts within the South East. Whilst </w:t>
      </w:r>
      <w:proofErr w:type="gramStart"/>
      <w:r w:rsidRPr="00D13B51">
        <w:t>a number of</w:t>
      </w:r>
      <w:proofErr w:type="gramEnd"/>
      <w:r w:rsidRPr="00D13B51">
        <w:t xml:space="preserve"> South East Pathology Networks work across geographical boundaries, Trusts based within the South West (Dorset and Salisbury) and East of England (Milton Keynes) can access this funding offer </w:t>
      </w:r>
      <w:r w:rsidRPr="00D532A2">
        <w:t>through their equivalent NHSE Cancer and Diagnostics</w:t>
      </w:r>
      <w:r w:rsidR="002277EE">
        <w:t xml:space="preserve"> Workforce Training and </w:t>
      </w:r>
      <w:r w:rsidR="000837B0" w:rsidRPr="00D532A2">
        <w:t>E</w:t>
      </w:r>
      <w:r w:rsidR="000837B0">
        <w:t>ducation</w:t>
      </w:r>
      <w:r w:rsidRPr="00D532A2">
        <w:t xml:space="preserve"> team.</w:t>
      </w:r>
    </w:p>
    <w:p w14:paraId="6D6CC125" w14:textId="77777777" w:rsidR="00D13B51" w:rsidRDefault="00D13B51" w:rsidP="00D13B51"/>
    <w:p w14:paraId="3F4CFB20" w14:textId="261ACE65" w:rsidR="000F74D4" w:rsidRDefault="000F74D4" w:rsidP="00D13B51">
      <w:r>
        <w:t xml:space="preserve">To ensure that employers and </w:t>
      </w:r>
      <w:r w:rsidR="00011C65">
        <w:t>apprentices</w:t>
      </w:r>
      <w:r>
        <w:t xml:space="preserve"> can maximise </w:t>
      </w:r>
      <w:r w:rsidR="00011C65">
        <w:t xml:space="preserve">the benefit of this training grant and the wider apprenticeship opportunity, </w:t>
      </w:r>
      <w:r w:rsidR="005B0724">
        <w:t xml:space="preserve">please note </w:t>
      </w:r>
      <w:r w:rsidR="00011C65">
        <w:t>the</w:t>
      </w:r>
      <w:r w:rsidR="005B0724">
        <w:t xml:space="preserve"> following</w:t>
      </w:r>
      <w:r w:rsidR="00011C65">
        <w:t>:</w:t>
      </w:r>
    </w:p>
    <w:p w14:paraId="540D55CD" w14:textId="61FA8CE8" w:rsidR="00011C65" w:rsidRDefault="00011C65" w:rsidP="00011C65">
      <w:pPr>
        <w:pStyle w:val="ListParagraph"/>
        <w:numPr>
          <w:ilvl w:val="0"/>
          <w:numId w:val="17"/>
        </w:numPr>
        <w:spacing w:after="200" w:line="276" w:lineRule="auto"/>
        <w:jc w:val="both"/>
      </w:pPr>
      <w:r>
        <w:t xml:space="preserve">Apprentices must start their training </w:t>
      </w:r>
      <w:r w:rsidR="00D13B51">
        <w:t>programme between</w:t>
      </w:r>
      <w:r w:rsidR="008D667E">
        <w:t xml:space="preserve"> 1 April 2024 and </w:t>
      </w:r>
      <w:r>
        <w:t>31 March 2025</w:t>
      </w:r>
    </w:p>
    <w:p w14:paraId="310E2CC5" w14:textId="6478FB04" w:rsidR="008D667E" w:rsidRDefault="005B0724" w:rsidP="00011C65">
      <w:pPr>
        <w:pStyle w:val="ListParagraph"/>
        <w:numPr>
          <w:ilvl w:val="0"/>
          <w:numId w:val="17"/>
        </w:numPr>
        <w:spacing w:after="200" w:line="276" w:lineRule="auto"/>
        <w:jc w:val="both"/>
      </w:pPr>
      <w:r>
        <w:t xml:space="preserve">The chosen apprenticeship programme must be recognised by </w:t>
      </w:r>
      <w:r w:rsidR="00E27CF9">
        <w:t xml:space="preserve">the Institute for Apprenticeships and Technical </w:t>
      </w:r>
      <w:r w:rsidR="005004AF">
        <w:t>Education</w:t>
      </w:r>
      <w:r>
        <w:t xml:space="preserve"> at </w:t>
      </w:r>
      <w:r w:rsidR="008D667E">
        <w:t>level 2,4 or 6</w:t>
      </w:r>
    </w:p>
    <w:p w14:paraId="24F03228" w14:textId="1460B0D6" w:rsidR="00D532A2" w:rsidRDefault="00D532A2" w:rsidP="00011C65">
      <w:pPr>
        <w:pStyle w:val="ListParagraph"/>
        <w:numPr>
          <w:ilvl w:val="0"/>
          <w:numId w:val="17"/>
        </w:numPr>
        <w:spacing w:after="200" w:line="276" w:lineRule="auto"/>
        <w:jc w:val="both"/>
      </w:pPr>
      <w:r>
        <w:t xml:space="preserve">All funding received must be spent and fully utilised within the </w:t>
      </w:r>
      <w:r w:rsidR="005B0724">
        <w:t>2024/25</w:t>
      </w:r>
      <w:r>
        <w:t>, with appropriate financial assurance being required before any funding is transferred.</w:t>
      </w:r>
    </w:p>
    <w:p w14:paraId="6DFB8948" w14:textId="77777777" w:rsidR="002C7FD2" w:rsidRDefault="002C7FD2" w:rsidP="00401083">
      <w:pPr>
        <w:jc w:val="both"/>
        <w:rPr>
          <w:rFonts w:cs="Arial"/>
          <w:b/>
          <w:bCs/>
          <w:iCs/>
          <w:color w:val="003893"/>
          <w:sz w:val="28"/>
          <w:szCs w:val="28"/>
        </w:rPr>
      </w:pPr>
    </w:p>
    <w:p w14:paraId="28FA1605" w14:textId="2642DBEB" w:rsidR="00FE4E56" w:rsidRPr="00B07B65" w:rsidRDefault="00401083" w:rsidP="00401083">
      <w:pPr>
        <w:jc w:val="both"/>
        <w:rPr>
          <w:rFonts w:cs="Arial"/>
          <w:b/>
          <w:bCs/>
          <w:iCs/>
          <w:color w:val="003893"/>
          <w:sz w:val="28"/>
          <w:szCs w:val="28"/>
        </w:rPr>
      </w:pPr>
      <w:r w:rsidRPr="00B07B65">
        <w:rPr>
          <w:rFonts w:cs="Arial"/>
          <w:b/>
          <w:bCs/>
          <w:iCs/>
          <w:color w:val="003893"/>
          <w:sz w:val="28"/>
          <w:szCs w:val="28"/>
        </w:rPr>
        <w:t>How to access this funding</w:t>
      </w:r>
    </w:p>
    <w:p w14:paraId="6029F77C" w14:textId="45083EDE" w:rsidR="00FE4E56" w:rsidRDefault="00FE4E56" w:rsidP="00401083">
      <w:pPr>
        <w:jc w:val="both"/>
        <w:rPr>
          <w:rFonts w:cs="Arial"/>
          <w:b/>
          <w:bCs/>
          <w:iCs/>
          <w:color w:val="0070C0"/>
          <w:sz w:val="28"/>
          <w:szCs w:val="28"/>
        </w:rPr>
      </w:pPr>
    </w:p>
    <w:p w14:paraId="75D5CAC1" w14:textId="68ABE3C7" w:rsidR="00A13FC6" w:rsidRPr="00D13B51" w:rsidRDefault="00A13FC6" w:rsidP="00C51BFD">
      <w:pPr>
        <w:rPr>
          <w:b/>
          <w:bCs/>
          <w:lang w:val="en-US"/>
        </w:rPr>
      </w:pPr>
      <w:r w:rsidRPr="00B26969">
        <w:rPr>
          <w:lang w:val="en-US"/>
        </w:rPr>
        <w:t xml:space="preserve">Trust </w:t>
      </w:r>
      <w:r w:rsidR="00D13B51">
        <w:rPr>
          <w:lang w:val="en-US"/>
        </w:rPr>
        <w:t xml:space="preserve">pathology and healthcare science departments </w:t>
      </w:r>
      <w:r w:rsidRPr="00B26969">
        <w:rPr>
          <w:lang w:val="en-US"/>
        </w:rPr>
        <w:t xml:space="preserve">are asked to link with their relevant </w:t>
      </w:r>
      <w:bookmarkStart w:id="1" w:name="_Hlk108438007"/>
      <w:r w:rsidR="00D13B51">
        <w:rPr>
          <w:lang w:val="en-US"/>
        </w:rPr>
        <w:t xml:space="preserve">education and development </w:t>
      </w:r>
      <w:r w:rsidR="0010391E">
        <w:rPr>
          <w:lang w:val="en-US"/>
        </w:rPr>
        <w:t xml:space="preserve">teams </w:t>
      </w:r>
      <w:r w:rsidR="00D13B51" w:rsidRPr="00D13B51">
        <w:rPr>
          <w:lang w:val="en-US"/>
        </w:rPr>
        <w:t xml:space="preserve">to review this offer and to work up plans. </w:t>
      </w:r>
      <w:r>
        <w:rPr>
          <w:lang w:val="en-US"/>
        </w:rPr>
        <w:t>Pathology</w:t>
      </w:r>
      <w:r w:rsidRPr="00B26969">
        <w:rPr>
          <w:lang w:val="en-US"/>
        </w:rPr>
        <w:t xml:space="preserve"> Network Workforce Leads </w:t>
      </w:r>
      <w:r w:rsidR="00DB0605">
        <w:rPr>
          <w:lang w:val="en-US"/>
        </w:rPr>
        <w:t>may</w:t>
      </w:r>
      <w:r w:rsidRPr="00B26969">
        <w:rPr>
          <w:lang w:val="en-US"/>
        </w:rPr>
        <w:t xml:space="preserve"> also link with their Trust colleagues as part of this work to ensure they are best placed to support uptake.  </w:t>
      </w:r>
      <w:bookmarkEnd w:id="1"/>
    </w:p>
    <w:p w14:paraId="51B0342B" w14:textId="77777777" w:rsidR="005B0724" w:rsidRDefault="005B0724" w:rsidP="00C51BFD">
      <w:pPr>
        <w:rPr>
          <w:lang w:val="en-US"/>
        </w:rPr>
      </w:pPr>
    </w:p>
    <w:p w14:paraId="57976A27" w14:textId="6F015C8D" w:rsidR="005B0724" w:rsidRDefault="005B0724" w:rsidP="00C51BFD">
      <w:pPr>
        <w:rPr>
          <w:lang w:val="en-US"/>
        </w:rPr>
      </w:pPr>
      <w:r>
        <w:rPr>
          <w:rStyle w:val="ui-provider"/>
        </w:rPr>
        <w:t>Please note</w:t>
      </w:r>
      <w:r w:rsidR="00D13B51">
        <w:rPr>
          <w:rStyle w:val="ui-provider"/>
        </w:rPr>
        <w:t xml:space="preserve"> </w:t>
      </w:r>
      <w:r>
        <w:rPr>
          <w:rStyle w:val="ui-provider"/>
        </w:rPr>
        <w:t>that applications must not be submitted by individual learners themselves; all applications must be submitted on behalf of the named learner e.g., by a line manager / head of department / education lead etc.</w:t>
      </w:r>
    </w:p>
    <w:p w14:paraId="3CFDA1F4" w14:textId="77777777" w:rsidR="00663002" w:rsidRDefault="00663002" w:rsidP="00CD4544">
      <w:pPr>
        <w:spacing w:after="24" w:line="276" w:lineRule="auto"/>
        <w:rPr>
          <w:rFonts w:cs="Arial"/>
          <w:color w:val="1C1C1C"/>
          <w:lang w:val="en-US"/>
        </w:rPr>
      </w:pPr>
    </w:p>
    <w:p w14:paraId="13F1A9CE" w14:textId="67E20B19" w:rsidR="00663002" w:rsidRPr="009A7940" w:rsidRDefault="00663002" w:rsidP="007F78C6">
      <w:pPr>
        <w:spacing w:after="24" w:line="276" w:lineRule="auto"/>
        <w:rPr>
          <w:rFonts w:cs="Arial"/>
          <w:color w:val="1C1C1C"/>
          <w:lang w:val="en-US"/>
        </w:rPr>
      </w:pPr>
      <w:r w:rsidRPr="009A7940">
        <w:rPr>
          <w:rFonts w:cs="Arial"/>
          <w:color w:val="1C1C1C"/>
          <w:lang w:val="en-US"/>
        </w:rPr>
        <w:t>If interested in applying for this funding offer:</w:t>
      </w:r>
    </w:p>
    <w:p w14:paraId="5C8AD87D" w14:textId="6A91E87C" w:rsidR="00FE4E56" w:rsidRPr="009A7940" w:rsidRDefault="00A13FC6" w:rsidP="007F78C6">
      <w:pPr>
        <w:pStyle w:val="ListParagraph"/>
        <w:numPr>
          <w:ilvl w:val="0"/>
          <w:numId w:val="18"/>
        </w:numPr>
        <w:spacing w:after="24" w:line="276" w:lineRule="auto"/>
        <w:rPr>
          <w:rFonts w:cs="Arial"/>
          <w:color w:val="1C1C1C"/>
          <w:lang w:val="en-US"/>
        </w:rPr>
      </w:pPr>
      <w:r w:rsidRPr="009A7940">
        <w:rPr>
          <w:rFonts w:cs="Arial"/>
          <w:b/>
          <w:bCs/>
          <w:color w:val="1C1C1C"/>
          <w:lang w:val="en-US"/>
        </w:rPr>
        <w:t>Completion of online application</w:t>
      </w:r>
      <w:r w:rsidRPr="009A7940">
        <w:rPr>
          <w:rFonts w:cs="Arial"/>
          <w:color w:val="1C1C1C"/>
          <w:lang w:val="en-US"/>
        </w:rPr>
        <w:t xml:space="preserve"> </w:t>
      </w:r>
      <w:r w:rsidR="00663002" w:rsidRPr="009A7940">
        <w:rPr>
          <w:rFonts w:cs="Arial"/>
          <w:color w:val="1C1C1C"/>
          <w:lang w:val="en-US"/>
        </w:rPr>
        <w:t>–</w:t>
      </w:r>
      <w:r w:rsidRPr="009A7940">
        <w:rPr>
          <w:rFonts w:cs="Arial"/>
          <w:color w:val="1C1C1C"/>
          <w:lang w:val="en-US"/>
        </w:rPr>
        <w:t xml:space="preserve"> </w:t>
      </w:r>
      <w:r w:rsidR="00011C65" w:rsidRPr="009A7940">
        <w:rPr>
          <w:rFonts w:cs="Arial"/>
          <w:color w:val="1C1C1C"/>
          <w:lang w:val="en-US"/>
        </w:rPr>
        <w:t xml:space="preserve">Please complete an online application which can be accessed through this link – </w:t>
      </w:r>
      <w:hyperlink r:id="rId13" w:history="1">
        <w:r w:rsidR="00FE6A0E" w:rsidRPr="009A7940">
          <w:rPr>
            <w:rStyle w:val="Hyperlink"/>
            <w:rFonts w:cs="Arial"/>
            <w:lang w:val="en-US"/>
          </w:rPr>
          <w:t>Pathology apprenticeships application form</w:t>
        </w:r>
      </w:hyperlink>
      <w:r w:rsidR="00FE6A0E" w:rsidRPr="009A7940">
        <w:rPr>
          <w:rFonts w:cs="Arial"/>
          <w:color w:val="1C1C1C"/>
          <w:lang w:val="en-US"/>
        </w:rPr>
        <w:t xml:space="preserve"> </w:t>
      </w:r>
    </w:p>
    <w:p w14:paraId="1AFF1B5B" w14:textId="64B8D233" w:rsidR="00FE4E56" w:rsidRPr="008D667E" w:rsidRDefault="00A13FC6" w:rsidP="007F78C6">
      <w:pPr>
        <w:pStyle w:val="ListParagraph"/>
        <w:numPr>
          <w:ilvl w:val="0"/>
          <w:numId w:val="18"/>
        </w:numPr>
        <w:spacing w:after="24" w:line="276" w:lineRule="auto"/>
        <w:rPr>
          <w:rFonts w:asciiTheme="minorHAnsi" w:hAnsiTheme="minorHAnsi" w:cstheme="minorHAnsi"/>
          <w:b/>
          <w:bCs/>
          <w:color w:val="FF0000"/>
        </w:rPr>
      </w:pPr>
      <w:r w:rsidRPr="00A13FC6">
        <w:rPr>
          <w:rFonts w:asciiTheme="minorHAnsi" w:hAnsiTheme="minorHAnsi" w:cstheme="minorHAnsi"/>
          <w:b/>
          <w:bCs/>
          <w:color w:val="1C1C1C"/>
        </w:rPr>
        <w:t>Deadline</w:t>
      </w:r>
      <w:r w:rsidRPr="00A13FC6">
        <w:rPr>
          <w:rFonts w:asciiTheme="minorHAnsi" w:hAnsiTheme="minorHAnsi" w:cstheme="minorHAnsi"/>
          <w:color w:val="1C1C1C"/>
        </w:rPr>
        <w:t xml:space="preserve"> </w:t>
      </w:r>
      <w:r w:rsidR="00011C65" w:rsidRPr="00A13FC6">
        <w:rPr>
          <w:rFonts w:asciiTheme="minorHAnsi" w:hAnsiTheme="minorHAnsi" w:cstheme="minorHAnsi"/>
          <w:color w:val="1C1C1C"/>
        </w:rPr>
        <w:t xml:space="preserve">All applications must be through this online application form and </w:t>
      </w:r>
      <w:r w:rsidR="00011C65" w:rsidRPr="00DB0605">
        <w:rPr>
          <w:rFonts w:asciiTheme="minorHAnsi" w:hAnsiTheme="minorHAnsi" w:cstheme="minorHAnsi"/>
        </w:rPr>
        <w:t xml:space="preserve">must be submitted by </w:t>
      </w:r>
      <w:r w:rsidR="008E6B8C" w:rsidRPr="008E6B8C">
        <w:rPr>
          <w:rFonts w:asciiTheme="minorHAnsi" w:hAnsiTheme="minorHAnsi" w:cstheme="minorHAnsi"/>
          <w:b/>
          <w:bCs/>
          <w:color w:val="FF0000"/>
        </w:rPr>
        <w:t>10am</w:t>
      </w:r>
      <w:r w:rsidR="00011C65" w:rsidRPr="008E6B8C">
        <w:rPr>
          <w:rFonts w:asciiTheme="minorHAnsi" w:hAnsiTheme="minorHAnsi" w:cstheme="minorHAnsi"/>
          <w:b/>
          <w:bCs/>
          <w:color w:val="FF0000"/>
        </w:rPr>
        <w:t xml:space="preserve"> on </w:t>
      </w:r>
      <w:r w:rsidR="008E6B8C" w:rsidRPr="008E6B8C">
        <w:rPr>
          <w:rFonts w:asciiTheme="minorHAnsi" w:hAnsiTheme="minorHAnsi" w:cstheme="minorHAnsi"/>
          <w:b/>
          <w:bCs/>
          <w:color w:val="FF0000"/>
        </w:rPr>
        <w:t>Monday 11 November</w:t>
      </w:r>
      <w:r w:rsidR="00011C65" w:rsidRPr="008E6B8C">
        <w:rPr>
          <w:rFonts w:asciiTheme="minorHAnsi" w:hAnsiTheme="minorHAnsi" w:cstheme="minorHAnsi"/>
          <w:b/>
          <w:bCs/>
          <w:color w:val="FF0000"/>
        </w:rPr>
        <w:t xml:space="preserve"> 2024</w:t>
      </w:r>
      <w:r w:rsidR="00011C65" w:rsidRPr="008D667E">
        <w:rPr>
          <w:rFonts w:asciiTheme="minorHAnsi" w:hAnsiTheme="minorHAnsi" w:cstheme="minorHAnsi"/>
          <w:b/>
          <w:bCs/>
          <w:color w:val="FF0000"/>
        </w:rPr>
        <w:t>.</w:t>
      </w:r>
      <w:r w:rsidR="00FA5FA0" w:rsidRPr="008D667E">
        <w:rPr>
          <w:b/>
          <w:bCs/>
          <w:color w:val="FF0000"/>
        </w:rPr>
        <w:t xml:space="preserve"> </w:t>
      </w:r>
    </w:p>
    <w:p w14:paraId="60BDBC95" w14:textId="77777777" w:rsidR="00064BD3" w:rsidRPr="00B26969" w:rsidRDefault="00064BD3" w:rsidP="007F78C6">
      <w:pPr>
        <w:spacing w:after="24" w:line="276" w:lineRule="auto"/>
        <w:rPr>
          <w:rFonts w:asciiTheme="minorHAnsi" w:hAnsiTheme="minorHAnsi" w:cstheme="minorHAnsi"/>
          <w:color w:val="1C1C1C"/>
        </w:rPr>
      </w:pPr>
    </w:p>
    <w:p w14:paraId="217582BD" w14:textId="35057769" w:rsidR="00401083" w:rsidRDefault="00064BD3" w:rsidP="007F78C6">
      <w:pPr>
        <w:spacing w:after="24" w:line="276" w:lineRule="auto"/>
        <w:rPr>
          <w:rFonts w:cs="Arial"/>
          <w:lang w:val="en-US"/>
        </w:rPr>
      </w:pPr>
      <w:r w:rsidRPr="004A261C">
        <w:rPr>
          <w:rFonts w:asciiTheme="minorHAnsi" w:hAnsiTheme="minorHAnsi" w:cstheme="minorHAnsi"/>
        </w:rPr>
        <w:t xml:space="preserve">All applications </w:t>
      </w:r>
      <w:r w:rsidR="00401083" w:rsidRPr="004A261C">
        <w:rPr>
          <w:rFonts w:cs="Arial"/>
          <w:lang w:val="en-US"/>
        </w:rPr>
        <w:t xml:space="preserve">will be reviewed by the </w:t>
      </w:r>
      <w:r w:rsidR="00F0795E" w:rsidRPr="004A261C">
        <w:rPr>
          <w:rFonts w:cs="Arial"/>
          <w:lang w:val="en-US"/>
        </w:rPr>
        <w:t>NHSE</w:t>
      </w:r>
      <w:r w:rsidR="006D6D0D" w:rsidRPr="004A261C">
        <w:rPr>
          <w:rFonts w:cs="Arial"/>
          <w:lang w:val="en-US"/>
        </w:rPr>
        <w:t xml:space="preserve"> </w:t>
      </w:r>
      <w:r w:rsidR="00F0795E" w:rsidRPr="004A261C">
        <w:rPr>
          <w:rFonts w:cs="Arial"/>
          <w:lang w:val="en-US"/>
        </w:rPr>
        <w:t>SE</w:t>
      </w:r>
      <w:r w:rsidR="00401083" w:rsidRPr="004A261C">
        <w:rPr>
          <w:rFonts w:cs="Arial"/>
          <w:lang w:val="en-US"/>
        </w:rPr>
        <w:t xml:space="preserve"> Cancer and Diagnostics Programme team</w:t>
      </w:r>
      <w:r w:rsidR="00F0795E" w:rsidRPr="004A261C">
        <w:rPr>
          <w:rFonts w:cs="Arial"/>
          <w:lang w:val="en-US"/>
        </w:rPr>
        <w:t xml:space="preserve"> [Workforce, Training and Education]</w:t>
      </w:r>
      <w:r w:rsidR="00401083" w:rsidRPr="004A261C">
        <w:rPr>
          <w:rFonts w:cs="Arial"/>
          <w:lang w:val="en-US"/>
        </w:rPr>
        <w:t>.</w:t>
      </w:r>
      <w:r w:rsidR="00532830" w:rsidRPr="004A261C">
        <w:rPr>
          <w:rFonts w:cs="Arial"/>
          <w:lang w:val="en-US"/>
        </w:rPr>
        <w:t xml:space="preserve"> </w:t>
      </w:r>
      <w:r w:rsidR="00D532A2" w:rsidRPr="004A261C">
        <w:rPr>
          <w:rFonts w:cs="Arial"/>
          <w:lang w:val="en-US"/>
        </w:rPr>
        <w:t xml:space="preserve">Depending on the number of applications, not all may be able to be supported. A review and </w:t>
      </w:r>
      <w:proofErr w:type="spellStart"/>
      <w:r w:rsidR="00D532A2" w:rsidRPr="004A261C">
        <w:rPr>
          <w:rFonts w:cs="Arial"/>
          <w:lang w:val="en-US"/>
        </w:rPr>
        <w:t>prioritisation</w:t>
      </w:r>
      <w:proofErr w:type="spellEnd"/>
      <w:r w:rsidR="00D532A2" w:rsidRPr="004A261C">
        <w:rPr>
          <w:rFonts w:cs="Arial"/>
          <w:lang w:val="en-US"/>
        </w:rPr>
        <w:t xml:space="preserve"> exercise will take place by the Cancer and Diagnostic programme team including other colleagues and </w:t>
      </w:r>
      <w:r w:rsidR="00F56802" w:rsidRPr="004A261C">
        <w:rPr>
          <w:rFonts w:cs="Arial"/>
          <w:lang w:val="en-US"/>
        </w:rPr>
        <w:t xml:space="preserve">Pathology </w:t>
      </w:r>
      <w:r w:rsidR="00D532A2" w:rsidRPr="004A261C">
        <w:rPr>
          <w:rFonts w:cs="Arial"/>
          <w:lang w:val="en-US"/>
        </w:rPr>
        <w:t>Networks where required.</w:t>
      </w:r>
    </w:p>
    <w:p w14:paraId="1832394A" w14:textId="77777777" w:rsidR="00C51BFD" w:rsidRDefault="00C51BFD" w:rsidP="007F78C6">
      <w:pPr>
        <w:spacing w:after="24" w:line="276" w:lineRule="auto"/>
        <w:rPr>
          <w:rFonts w:cs="Arial"/>
          <w:lang w:val="en-US"/>
        </w:rPr>
      </w:pPr>
    </w:p>
    <w:p w14:paraId="14FF80F1" w14:textId="77777777" w:rsidR="00C51BFD" w:rsidRDefault="00C51BFD" w:rsidP="007F78C6">
      <w:pPr>
        <w:spacing w:after="24" w:line="276" w:lineRule="auto"/>
        <w:rPr>
          <w:rFonts w:cs="Arial"/>
          <w:lang w:val="en-US"/>
        </w:rPr>
      </w:pPr>
    </w:p>
    <w:p w14:paraId="5AF0B3EF" w14:textId="77777777" w:rsidR="00C51BFD" w:rsidRDefault="00C51BFD" w:rsidP="007F78C6">
      <w:pPr>
        <w:spacing w:after="24" w:line="276" w:lineRule="auto"/>
        <w:rPr>
          <w:rFonts w:cs="Arial"/>
          <w:lang w:val="en-US"/>
        </w:rPr>
      </w:pPr>
    </w:p>
    <w:p w14:paraId="60F3AD3C" w14:textId="77777777" w:rsidR="00C51BFD" w:rsidRPr="004A261C" w:rsidRDefault="00C51BFD" w:rsidP="007F78C6">
      <w:pPr>
        <w:spacing w:after="24" w:line="276" w:lineRule="auto"/>
        <w:rPr>
          <w:rFonts w:cs="Arial"/>
          <w:lang w:val="en-US"/>
        </w:rPr>
      </w:pPr>
    </w:p>
    <w:p w14:paraId="61CF52F5" w14:textId="69AE63D5" w:rsidR="00064BD3" w:rsidRPr="004A261C" w:rsidRDefault="00064BD3" w:rsidP="007F78C6">
      <w:pPr>
        <w:spacing w:after="24" w:line="276" w:lineRule="auto"/>
        <w:rPr>
          <w:rFonts w:cs="Arial"/>
          <w:lang w:val="en-US"/>
        </w:rPr>
      </w:pPr>
    </w:p>
    <w:p w14:paraId="158A3FD6" w14:textId="656D3F12" w:rsidR="00401083" w:rsidRPr="00B07B65" w:rsidRDefault="00401083" w:rsidP="00401083">
      <w:pPr>
        <w:jc w:val="both"/>
        <w:rPr>
          <w:rFonts w:cs="Arial"/>
          <w:b/>
          <w:bCs/>
          <w:color w:val="003893"/>
          <w:sz w:val="28"/>
          <w:szCs w:val="28"/>
          <w:lang w:val="en-US"/>
        </w:rPr>
      </w:pPr>
      <w:r w:rsidRPr="00B07B65">
        <w:rPr>
          <w:rFonts w:cs="Arial"/>
          <w:b/>
          <w:bCs/>
          <w:color w:val="003893"/>
          <w:sz w:val="28"/>
          <w:szCs w:val="28"/>
          <w:lang w:val="en-US"/>
        </w:rPr>
        <w:t xml:space="preserve">Expectations of organisations upon application of funding </w:t>
      </w:r>
    </w:p>
    <w:p w14:paraId="5D3EEBBB" w14:textId="77777777" w:rsidR="009F3C7D" w:rsidRPr="00D57119" w:rsidRDefault="009F3C7D" w:rsidP="00401083">
      <w:pPr>
        <w:jc w:val="both"/>
        <w:rPr>
          <w:rFonts w:cs="Arial"/>
          <w:b/>
          <w:bCs/>
          <w:color w:val="0070C0"/>
          <w:sz w:val="28"/>
          <w:szCs w:val="28"/>
          <w:lang w:val="en-US"/>
        </w:rPr>
      </w:pPr>
    </w:p>
    <w:p w14:paraId="73BFB15B" w14:textId="77777777" w:rsidR="00401083" w:rsidRPr="00413D35" w:rsidRDefault="00401083" w:rsidP="00401083">
      <w:pPr>
        <w:pStyle w:val="ListParagraph"/>
        <w:numPr>
          <w:ilvl w:val="0"/>
          <w:numId w:val="4"/>
        </w:numPr>
        <w:spacing w:after="200" w:line="276" w:lineRule="auto"/>
        <w:jc w:val="both"/>
        <w:rPr>
          <w:rFonts w:cs="Arial"/>
          <w:color w:val="1C1C1C"/>
          <w:lang w:val="en-US"/>
        </w:rPr>
      </w:pPr>
      <w:r w:rsidRPr="00413D35">
        <w:rPr>
          <w:rFonts w:cs="Arial"/>
          <w:color w:val="1C1C1C"/>
          <w:lang w:val="en-US"/>
        </w:rPr>
        <w:t>If approved, all investment will be subject to reporting requirements (outlined below).</w:t>
      </w:r>
    </w:p>
    <w:p w14:paraId="7B43BEE9" w14:textId="1C5BAC06" w:rsidR="008E6B8C" w:rsidRPr="00C51BFD" w:rsidRDefault="00401083" w:rsidP="00C51BFD">
      <w:pPr>
        <w:pStyle w:val="ListParagraph"/>
        <w:numPr>
          <w:ilvl w:val="0"/>
          <w:numId w:val="4"/>
        </w:numPr>
        <w:spacing w:after="200" w:line="276" w:lineRule="auto"/>
        <w:jc w:val="both"/>
        <w:rPr>
          <w:rFonts w:cs="Arial"/>
          <w:color w:val="1C1C1C"/>
          <w:lang w:val="en-US"/>
        </w:rPr>
      </w:pPr>
      <w:r w:rsidRPr="00413D35">
        <w:rPr>
          <w:rFonts w:cs="Arial"/>
          <w:color w:val="1C1C1C"/>
          <w:lang w:val="en-US"/>
        </w:rPr>
        <w:t xml:space="preserve">If approved, that all funding is managed appropriately in line with individual </w:t>
      </w:r>
      <w:proofErr w:type="spellStart"/>
      <w:r w:rsidRPr="00413D35">
        <w:rPr>
          <w:rFonts w:cs="Arial"/>
          <w:color w:val="1C1C1C"/>
          <w:lang w:val="en-US"/>
        </w:rPr>
        <w:t>organisation’s</w:t>
      </w:r>
      <w:proofErr w:type="spellEnd"/>
      <w:r w:rsidRPr="00413D35">
        <w:rPr>
          <w:rFonts w:cs="Arial"/>
          <w:color w:val="1C1C1C"/>
          <w:lang w:val="en-US"/>
        </w:rPr>
        <w:t xml:space="preserve"> financial management and assurance processes.</w:t>
      </w:r>
    </w:p>
    <w:p w14:paraId="42C5A095" w14:textId="77777777" w:rsidR="006118A5" w:rsidRDefault="006118A5" w:rsidP="00401083">
      <w:pPr>
        <w:jc w:val="both"/>
        <w:rPr>
          <w:rFonts w:cs="Arial"/>
          <w:b/>
          <w:bCs/>
          <w:color w:val="003893"/>
          <w:sz w:val="28"/>
          <w:szCs w:val="28"/>
        </w:rPr>
      </w:pPr>
    </w:p>
    <w:p w14:paraId="2CDD7D6F" w14:textId="527738AA" w:rsidR="00401083" w:rsidRPr="00B07B65" w:rsidRDefault="00401083" w:rsidP="00401083">
      <w:pPr>
        <w:jc w:val="both"/>
        <w:rPr>
          <w:rFonts w:cs="Arial"/>
          <w:b/>
          <w:bCs/>
          <w:color w:val="003893"/>
          <w:sz w:val="28"/>
          <w:szCs w:val="28"/>
        </w:rPr>
      </w:pPr>
      <w:r w:rsidRPr="00B07B65">
        <w:rPr>
          <w:rFonts w:cs="Arial"/>
          <w:b/>
          <w:bCs/>
          <w:color w:val="003893"/>
          <w:sz w:val="28"/>
          <w:szCs w:val="28"/>
        </w:rPr>
        <w:t>Reporting and monitoring investment</w:t>
      </w:r>
    </w:p>
    <w:p w14:paraId="0A957180" w14:textId="77777777" w:rsidR="009F3C7D" w:rsidRDefault="009F3C7D" w:rsidP="00401083">
      <w:pPr>
        <w:jc w:val="both"/>
        <w:rPr>
          <w:rFonts w:cs="Arial"/>
          <w:color w:val="005EB8" w:themeColor="text1"/>
        </w:rPr>
      </w:pPr>
    </w:p>
    <w:p w14:paraId="4821CF6F" w14:textId="78127AEA" w:rsidR="00401083" w:rsidRPr="00413D35" w:rsidRDefault="0098626C" w:rsidP="007F78C6">
      <w:pPr>
        <w:spacing w:after="24" w:line="276" w:lineRule="auto"/>
        <w:rPr>
          <w:rFonts w:cs="Arial"/>
          <w:color w:val="1C1C1C"/>
        </w:rPr>
      </w:pPr>
      <w:r w:rsidRPr="00413D35">
        <w:rPr>
          <w:rFonts w:cs="Arial"/>
          <w:color w:val="1C1C1C"/>
        </w:rPr>
        <w:t xml:space="preserve">NHSE </w:t>
      </w:r>
      <w:r w:rsidR="00A13FC6">
        <w:rPr>
          <w:rFonts w:cs="Arial"/>
          <w:color w:val="1C1C1C"/>
        </w:rPr>
        <w:t>South East</w:t>
      </w:r>
      <w:r w:rsidR="009F3C7D" w:rsidRPr="00413D35">
        <w:rPr>
          <w:rFonts w:cs="Arial"/>
          <w:color w:val="1C1C1C"/>
        </w:rPr>
        <w:t xml:space="preserve"> </w:t>
      </w:r>
      <w:r w:rsidR="00401083" w:rsidRPr="00413D35">
        <w:rPr>
          <w:rFonts w:cs="Arial"/>
          <w:color w:val="1C1C1C"/>
        </w:rPr>
        <w:t xml:space="preserve">are required to provide full details of </w:t>
      </w:r>
      <w:r w:rsidRPr="00413D35">
        <w:rPr>
          <w:rFonts w:cs="Arial"/>
          <w:color w:val="1C1C1C"/>
        </w:rPr>
        <w:t>the use of this</w:t>
      </w:r>
      <w:r w:rsidR="00401083" w:rsidRPr="00413D35">
        <w:rPr>
          <w:rFonts w:cs="Arial"/>
          <w:color w:val="1C1C1C"/>
        </w:rPr>
        <w:t xml:space="preserve"> funding to the national </w:t>
      </w:r>
      <w:r w:rsidRPr="00413D35">
        <w:rPr>
          <w:rFonts w:cs="Arial"/>
          <w:color w:val="1C1C1C"/>
        </w:rPr>
        <w:t>NHSE</w:t>
      </w:r>
      <w:r w:rsidR="00401083" w:rsidRPr="00413D35">
        <w:rPr>
          <w:rFonts w:cs="Arial"/>
          <w:color w:val="1C1C1C"/>
        </w:rPr>
        <w:t xml:space="preserve"> Cancer and Diagnostics</w:t>
      </w:r>
      <w:r w:rsidR="00A50507">
        <w:rPr>
          <w:rFonts w:cs="Arial"/>
          <w:color w:val="1C1C1C"/>
        </w:rPr>
        <w:t xml:space="preserve"> programme, part of the Workforce Training and Education Directorate </w:t>
      </w:r>
      <w:r w:rsidR="00401083" w:rsidRPr="00413D35">
        <w:rPr>
          <w:rFonts w:cs="Arial"/>
          <w:color w:val="1C1C1C"/>
        </w:rPr>
        <w:t xml:space="preserve">so that investment can be appropriately reported. </w:t>
      </w:r>
      <w:r w:rsidR="007E6CF5" w:rsidRPr="00413D35">
        <w:rPr>
          <w:rFonts w:cs="Arial"/>
          <w:color w:val="1C1C1C"/>
        </w:rPr>
        <w:t>Where funding has been used to support an individual, t</w:t>
      </w:r>
      <w:r w:rsidR="00401083" w:rsidRPr="00413D35">
        <w:rPr>
          <w:rFonts w:cs="Arial"/>
          <w:color w:val="1C1C1C"/>
        </w:rPr>
        <w:t>he national</w:t>
      </w:r>
      <w:r w:rsidR="009F3C7D" w:rsidRPr="00413D35">
        <w:rPr>
          <w:rFonts w:cs="Arial"/>
          <w:color w:val="1C1C1C"/>
        </w:rPr>
        <w:t xml:space="preserve"> </w:t>
      </w:r>
      <w:r w:rsidR="00401083" w:rsidRPr="00413D35">
        <w:rPr>
          <w:rFonts w:cs="Arial"/>
          <w:color w:val="1C1C1C"/>
        </w:rPr>
        <w:t xml:space="preserve">Programme </w:t>
      </w:r>
      <w:r w:rsidR="00A9515C" w:rsidRPr="00413D35">
        <w:rPr>
          <w:rFonts w:cs="Arial"/>
          <w:color w:val="1C1C1C"/>
        </w:rPr>
        <w:t>team may</w:t>
      </w:r>
      <w:r w:rsidR="00A77A6B" w:rsidRPr="00413D35">
        <w:rPr>
          <w:rFonts w:cs="Arial"/>
          <w:color w:val="1C1C1C"/>
        </w:rPr>
        <w:t xml:space="preserve"> </w:t>
      </w:r>
      <w:r w:rsidR="00401083" w:rsidRPr="00413D35">
        <w:rPr>
          <w:rFonts w:cs="Arial"/>
          <w:color w:val="1C1C1C"/>
        </w:rPr>
        <w:t xml:space="preserve">keep a database of participant </w:t>
      </w:r>
      <w:r w:rsidRPr="00413D35">
        <w:rPr>
          <w:rFonts w:cs="Arial"/>
          <w:color w:val="1C1C1C"/>
        </w:rPr>
        <w:t>details</w:t>
      </w:r>
      <w:r w:rsidR="00401083" w:rsidRPr="00413D35">
        <w:rPr>
          <w:rFonts w:cs="Arial"/>
          <w:color w:val="1C1C1C"/>
        </w:rPr>
        <w:t xml:space="preserve"> (to include role, Trust, HEI/training provider).</w:t>
      </w:r>
    </w:p>
    <w:p w14:paraId="6E8AB405" w14:textId="77777777" w:rsidR="009F3C7D" w:rsidRPr="00413D35" w:rsidRDefault="009F3C7D" w:rsidP="007F78C6">
      <w:pPr>
        <w:spacing w:after="24" w:line="276" w:lineRule="auto"/>
        <w:rPr>
          <w:rFonts w:cs="Arial"/>
          <w:color w:val="1C1C1C"/>
        </w:rPr>
      </w:pPr>
    </w:p>
    <w:p w14:paraId="524189DB" w14:textId="32F31DBA" w:rsidR="00E14510" w:rsidRDefault="00E14510" w:rsidP="007F78C6">
      <w:pPr>
        <w:spacing w:after="24" w:line="276" w:lineRule="auto"/>
        <w:rPr>
          <w:rStyle w:val="ui-provider"/>
        </w:rPr>
      </w:pPr>
      <w:r>
        <w:rPr>
          <w:rStyle w:val="ui-provider"/>
        </w:rPr>
        <w:t xml:space="preserve">Organisations receiving this funding will be required to provide </w:t>
      </w:r>
      <w:r w:rsidR="00DB3E5F">
        <w:rPr>
          <w:rStyle w:val="ui-provider"/>
        </w:rPr>
        <w:t xml:space="preserve">an update </w:t>
      </w:r>
      <w:r>
        <w:rPr>
          <w:rStyle w:val="ui-provider"/>
        </w:rPr>
        <w:t>relating to the status of each individual learner</w:t>
      </w:r>
      <w:r w:rsidR="00187620">
        <w:rPr>
          <w:rStyle w:val="ui-provider"/>
        </w:rPr>
        <w:t xml:space="preserve">; </w:t>
      </w:r>
      <w:r>
        <w:rPr>
          <w:rStyle w:val="ui-provider"/>
        </w:rPr>
        <w:t>guidance will be provided</w:t>
      </w:r>
      <w:r w:rsidR="00187620">
        <w:rPr>
          <w:rStyle w:val="ui-provider"/>
        </w:rPr>
        <w:t xml:space="preserve"> later in the year</w:t>
      </w:r>
      <w:r>
        <w:rPr>
          <w:rStyle w:val="ui-provider"/>
        </w:rPr>
        <w:t>. </w:t>
      </w:r>
    </w:p>
    <w:p w14:paraId="649C494B" w14:textId="77777777" w:rsidR="00E14510" w:rsidRDefault="00E14510" w:rsidP="00E14510">
      <w:pPr>
        <w:jc w:val="both"/>
        <w:rPr>
          <w:rFonts w:cs="Arial"/>
          <w:b/>
          <w:bCs/>
          <w:iCs/>
          <w:color w:val="003893"/>
          <w:sz w:val="28"/>
          <w:szCs w:val="28"/>
        </w:rPr>
      </w:pPr>
    </w:p>
    <w:p w14:paraId="6A77336A" w14:textId="29362FE9" w:rsidR="00401083" w:rsidRPr="00E14510" w:rsidRDefault="00401083" w:rsidP="00401083">
      <w:pPr>
        <w:jc w:val="both"/>
        <w:rPr>
          <w:rFonts w:cs="Arial"/>
          <w:b/>
          <w:bCs/>
          <w:iCs/>
          <w:color w:val="002365" w:themeColor="accent3" w:themeShade="BF"/>
          <w:sz w:val="28"/>
          <w:szCs w:val="28"/>
        </w:rPr>
      </w:pPr>
      <w:r w:rsidRPr="00E14510">
        <w:rPr>
          <w:rFonts w:cs="Arial"/>
          <w:b/>
          <w:bCs/>
          <w:iCs/>
          <w:color w:val="002365" w:themeColor="accent3" w:themeShade="BF"/>
          <w:sz w:val="28"/>
          <w:szCs w:val="28"/>
        </w:rPr>
        <w:t>Further Information</w:t>
      </w:r>
    </w:p>
    <w:p w14:paraId="25132E2C" w14:textId="77777777" w:rsidR="00B07B65" w:rsidRDefault="00B07B65" w:rsidP="00401083">
      <w:pPr>
        <w:jc w:val="both"/>
        <w:rPr>
          <w:rFonts w:cs="Arial"/>
          <w:b/>
          <w:bCs/>
          <w:iCs/>
          <w:color w:val="0070C0"/>
          <w:sz w:val="28"/>
          <w:szCs w:val="28"/>
        </w:rPr>
      </w:pPr>
    </w:p>
    <w:p w14:paraId="44BAC142" w14:textId="6007380D" w:rsidR="00453BA2" w:rsidRDefault="00DA4308" w:rsidP="007F78C6">
      <w:pPr>
        <w:spacing w:after="24" w:line="276" w:lineRule="auto"/>
        <w:rPr>
          <w:rFonts w:cs="Arial"/>
          <w:lang w:val="en-US"/>
        </w:rPr>
      </w:pPr>
      <w:r>
        <w:rPr>
          <w:rFonts w:cs="Arial"/>
          <w:lang w:val="en-US"/>
        </w:rPr>
        <w:t xml:space="preserve">The following websites provide in-depth </w:t>
      </w:r>
      <w:r w:rsidR="00C863AC">
        <w:rPr>
          <w:rFonts w:cs="Arial"/>
          <w:lang w:val="en-US"/>
        </w:rPr>
        <w:t>apprenticeship</w:t>
      </w:r>
      <w:r>
        <w:rPr>
          <w:rFonts w:cs="Arial"/>
          <w:lang w:val="en-US"/>
        </w:rPr>
        <w:t xml:space="preserve"> </w:t>
      </w:r>
      <w:r w:rsidR="00C863AC">
        <w:rPr>
          <w:rFonts w:cs="Arial"/>
          <w:lang w:val="en-US"/>
        </w:rPr>
        <w:t>information</w:t>
      </w:r>
      <w:r>
        <w:rPr>
          <w:rFonts w:cs="Arial"/>
          <w:lang w:val="en-US"/>
        </w:rPr>
        <w:t xml:space="preserve"> that may be useful to </w:t>
      </w:r>
      <w:r w:rsidR="00C863AC">
        <w:rPr>
          <w:rFonts w:cs="Arial"/>
          <w:lang w:val="en-US"/>
        </w:rPr>
        <w:t>employers</w:t>
      </w:r>
      <w:r>
        <w:rPr>
          <w:rFonts w:cs="Arial"/>
          <w:lang w:val="en-US"/>
        </w:rPr>
        <w:t xml:space="preserve"> when considering apprenticeships in pathology and life sciences:</w:t>
      </w:r>
    </w:p>
    <w:p w14:paraId="03C2C6D9" w14:textId="640EBBA5" w:rsidR="00DA4308" w:rsidRPr="00C863AC" w:rsidRDefault="00DA4308" w:rsidP="007F78C6">
      <w:pPr>
        <w:pStyle w:val="ListParagraph"/>
        <w:numPr>
          <w:ilvl w:val="0"/>
          <w:numId w:val="19"/>
        </w:numPr>
        <w:spacing w:after="24" w:line="276" w:lineRule="auto"/>
        <w:rPr>
          <w:rFonts w:cs="Arial"/>
          <w:lang w:val="en-US"/>
        </w:rPr>
      </w:pPr>
      <w:r w:rsidRPr="00C863AC">
        <w:rPr>
          <w:rFonts w:cs="Arial"/>
          <w:lang w:val="en-US"/>
        </w:rPr>
        <w:t xml:space="preserve">Institute </w:t>
      </w:r>
      <w:r w:rsidR="00656A58">
        <w:rPr>
          <w:rFonts w:cs="Arial"/>
          <w:lang w:val="en-US"/>
        </w:rPr>
        <w:t>for</w:t>
      </w:r>
      <w:r w:rsidR="00656A58" w:rsidRPr="00C863AC">
        <w:rPr>
          <w:rFonts w:cs="Arial"/>
          <w:lang w:val="en-US"/>
        </w:rPr>
        <w:t xml:space="preserve"> </w:t>
      </w:r>
      <w:r w:rsidRPr="00C863AC">
        <w:rPr>
          <w:rFonts w:cs="Arial"/>
          <w:lang w:val="en-US"/>
        </w:rPr>
        <w:t>Apprenticeships</w:t>
      </w:r>
      <w:r w:rsidR="00656A58">
        <w:rPr>
          <w:rFonts w:cs="Arial"/>
          <w:lang w:val="en-US"/>
        </w:rPr>
        <w:t xml:space="preserve"> and Technical Education</w:t>
      </w:r>
      <w:r w:rsidRPr="00C863AC">
        <w:rPr>
          <w:rFonts w:cs="Arial"/>
          <w:lang w:val="en-US"/>
        </w:rPr>
        <w:t xml:space="preserve"> – </w:t>
      </w:r>
      <w:hyperlink r:id="rId14" w:history="1">
        <w:r w:rsidR="00AD1775" w:rsidRPr="00680675">
          <w:rPr>
            <w:rStyle w:val="Hyperlink"/>
            <w:rFonts w:cs="Arial"/>
            <w:lang w:val="en-US"/>
          </w:rPr>
          <w:t>https://www.instituteforapprenticeships.org/</w:t>
        </w:r>
      </w:hyperlink>
      <w:r w:rsidR="00AD1775">
        <w:rPr>
          <w:rFonts w:cs="Arial"/>
          <w:lang w:val="en-US"/>
        </w:rPr>
        <w:t xml:space="preserve"> </w:t>
      </w:r>
    </w:p>
    <w:p w14:paraId="350F3B31" w14:textId="340BF372" w:rsidR="00656A58" w:rsidRDefault="00C863AC" w:rsidP="007F78C6">
      <w:pPr>
        <w:pStyle w:val="ListParagraph"/>
        <w:numPr>
          <w:ilvl w:val="0"/>
          <w:numId w:val="19"/>
        </w:numPr>
        <w:spacing w:after="24" w:line="276" w:lineRule="auto"/>
        <w:rPr>
          <w:rFonts w:cs="Arial"/>
          <w:lang w:val="en-US"/>
        </w:rPr>
      </w:pPr>
      <w:r w:rsidRPr="00C863AC">
        <w:rPr>
          <w:rFonts w:cs="Arial"/>
          <w:lang w:val="en-US"/>
        </w:rPr>
        <w:t xml:space="preserve">Skills for Health </w:t>
      </w:r>
      <w:r w:rsidR="00984192">
        <w:rPr>
          <w:rFonts w:cs="Arial"/>
          <w:lang w:val="en-US"/>
        </w:rPr>
        <w:t>–</w:t>
      </w:r>
      <w:r w:rsidRPr="00C863AC">
        <w:rPr>
          <w:rFonts w:cs="Arial"/>
          <w:lang w:val="en-US"/>
        </w:rPr>
        <w:t xml:space="preserve"> </w:t>
      </w:r>
      <w:hyperlink r:id="rId15" w:history="1">
        <w:r w:rsidR="00656A58" w:rsidRPr="00680675">
          <w:rPr>
            <w:rStyle w:val="Hyperlink"/>
            <w:rFonts w:cs="Arial"/>
            <w:lang w:val="en-US"/>
          </w:rPr>
          <w:t>https://www.skillsforhealth.org.uk/</w:t>
        </w:r>
      </w:hyperlink>
    </w:p>
    <w:p w14:paraId="0E492265" w14:textId="7A2430CA" w:rsidR="00C863AC" w:rsidRDefault="00656A58" w:rsidP="007F78C6">
      <w:pPr>
        <w:pStyle w:val="ListParagraph"/>
        <w:numPr>
          <w:ilvl w:val="0"/>
          <w:numId w:val="19"/>
        </w:numPr>
        <w:spacing w:after="24" w:line="276" w:lineRule="auto"/>
        <w:rPr>
          <w:rFonts w:cs="Arial"/>
          <w:lang w:val="en-US"/>
        </w:rPr>
      </w:pPr>
      <w:r>
        <w:rPr>
          <w:rFonts w:cs="Arial"/>
          <w:lang w:val="en-US"/>
        </w:rPr>
        <w:t>Healthcare Apprenticeship</w:t>
      </w:r>
      <w:r w:rsidR="00856A48">
        <w:rPr>
          <w:rFonts w:cs="Arial"/>
          <w:lang w:val="en-US"/>
        </w:rPr>
        <w:t xml:space="preserve"> Standards </w:t>
      </w:r>
      <w:r w:rsidR="004C6249">
        <w:rPr>
          <w:rFonts w:cs="Arial"/>
          <w:lang w:val="en-US"/>
        </w:rPr>
        <w:t xml:space="preserve">Online </w:t>
      </w:r>
      <w:hyperlink r:id="rId16" w:history="1">
        <w:r w:rsidR="008D667E" w:rsidRPr="005428E0">
          <w:rPr>
            <w:rStyle w:val="Hyperlink"/>
            <w:rFonts w:cs="Arial"/>
            <w:lang w:val="en-US"/>
          </w:rPr>
          <w:t>https://haso.skillsforhealth.org.uk/</w:t>
        </w:r>
      </w:hyperlink>
      <w:r w:rsidR="008D667E">
        <w:rPr>
          <w:rFonts w:cs="Arial"/>
          <w:lang w:val="en-US"/>
        </w:rPr>
        <w:t xml:space="preserve"> </w:t>
      </w:r>
    </w:p>
    <w:p w14:paraId="7011FF0C" w14:textId="77777777" w:rsidR="00E14510" w:rsidRDefault="00E14510" w:rsidP="00E14510">
      <w:pPr>
        <w:spacing w:after="24" w:line="276" w:lineRule="auto"/>
        <w:rPr>
          <w:rFonts w:cs="Arial"/>
          <w:lang w:val="en-US"/>
        </w:rPr>
      </w:pPr>
    </w:p>
    <w:p w14:paraId="0A3C5DD2" w14:textId="77777777" w:rsidR="00E14510" w:rsidRDefault="00E14510" w:rsidP="00E14510">
      <w:pPr>
        <w:jc w:val="both"/>
        <w:rPr>
          <w:rFonts w:cs="Arial"/>
          <w:b/>
          <w:bCs/>
          <w:iCs/>
          <w:color w:val="003893"/>
          <w:sz w:val="28"/>
          <w:szCs w:val="28"/>
        </w:rPr>
      </w:pPr>
      <w:r>
        <w:rPr>
          <w:rFonts w:cs="Arial"/>
          <w:b/>
          <w:bCs/>
          <w:iCs/>
          <w:color w:val="003893"/>
          <w:sz w:val="28"/>
          <w:szCs w:val="28"/>
        </w:rPr>
        <w:t>NHS En</w:t>
      </w:r>
      <w:r w:rsidRPr="00E14510">
        <w:rPr>
          <w:rFonts w:cs="Arial"/>
          <w:b/>
          <w:bCs/>
          <w:iCs/>
          <w:color w:val="002365" w:themeColor="accent3" w:themeShade="BF"/>
          <w:sz w:val="28"/>
          <w:szCs w:val="28"/>
        </w:rPr>
        <w:t>gla</w:t>
      </w:r>
      <w:r>
        <w:rPr>
          <w:rFonts w:cs="Arial"/>
          <w:b/>
          <w:bCs/>
          <w:iCs/>
          <w:color w:val="003893"/>
          <w:sz w:val="28"/>
          <w:szCs w:val="28"/>
        </w:rPr>
        <w:t>nd – NHS Long Term Workforce Plan (2023)</w:t>
      </w:r>
    </w:p>
    <w:p w14:paraId="48E7E960" w14:textId="77777777" w:rsidR="00E14510" w:rsidRDefault="00E14510" w:rsidP="00E14510">
      <w:pPr>
        <w:jc w:val="both"/>
        <w:rPr>
          <w:rFonts w:cs="Arial"/>
          <w:b/>
          <w:bCs/>
          <w:iCs/>
          <w:color w:val="003893"/>
          <w:sz w:val="28"/>
          <w:szCs w:val="28"/>
        </w:rPr>
      </w:pPr>
    </w:p>
    <w:p w14:paraId="03F0E889" w14:textId="77777777" w:rsidR="00E14510" w:rsidRPr="00DE5B1B" w:rsidRDefault="00E14510" w:rsidP="00E14510">
      <w:pPr>
        <w:spacing w:line="276" w:lineRule="auto"/>
        <w:jc w:val="both"/>
        <w:rPr>
          <w:rFonts w:cs="Arial"/>
          <w:iCs/>
        </w:rPr>
      </w:pPr>
      <w:r>
        <w:rPr>
          <w:rFonts w:cs="Arial"/>
          <w:iCs/>
        </w:rPr>
        <w:t>The long-awaited</w:t>
      </w:r>
      <w:r w:rsidRPr="00E20AD7">
        <w:rPr>
          <w:rFonts w:cs="Arial"/>
          <w:iCs/>
          <w:color w:val="003893"/>
        </w:rPr>
        <w:t xml:space="preserve"> </w:t>
      </w:r>
      <w:hyperlink r:id="rId17" w:history="1">
        <w:r>
          <w:rPr>
            <w:rStyle w:val="Hyperlink"/>
            <w:rFonts w:cs="Arial"/>
            <w:iCs/>
          </w:rPr>
          <w:t>NHS England Long Term Workforce Plan</w:t>
        </w:r>
      </w:hyperlink>
      <w:r w:rsidRPr="00E20AD7">
        <w:rPr>
          <w:rFonts w:cs="Arial"/>
          <w:iCs/>
          <w:color w:val="003893"/>
        </w:rPr>
        <w:t xml:space="preserve"> </w:t>
      </w:r>
      <w:r w:rsidRPr="00FA171D">
        <w:rPr>
          <w:rFonts w:cs="Arial"/>
          <w:iCs/>
        </w:rPr>
        <w:t>was published in 2023, outlining the case for change for all NHS workforce to deliver more patient care than ever before. This plan focuses on three priority areas of Train, Retain and Reform, which aims to make sustainable progress on core priorities for patients.</w:t>
      </w:r>
    </w:p>
    <w:p w14:paraId="6EECB72E" w14:textId="77777777" w:rsidR="00E14510" w:rsidRPr="00E14510" w:rsidRDefault="00E14510" w:rsidP="00E14510">
      <w:pPr>
        <w:spacing w:after="24" w:line="276" w:lineRule="auto"/>
        <w:rPr>
          <w:rFonts w:cs="Arial"/>
          <w:lang w:val="en-US"/>
        </w:rPr>
      </w:pPr>
    </w:p>
    <w:p w14:paraId="0424244D" w14:textId="77777777" w:rsidR="00401083" w:rsidRPr="002C7FD2" w:rsidRDefault="00401083" w:rsidP="00401083">
      <w:pPr>
        <w:jc w:val="both"/>
        <w:rPr>
          <w:rFonts w:cs="Arial"/>
          <w:iCs/>
          <w:sz w:val="28"/>
          <w:szCs w:val="28"/>
        </w:rPr>
      </w:pPr>
      <w:r w:rsidRPr="002C7FD2">
        <w:rPr>
          <w:rFonts w:cs="Arial"/>
          <w:b/>
          <w:bCs/>
          <w:iCs/>
          <w:color w:val="003893"/>
          <w:sz w:val="28"/>
          <w:szCs w:val="28"/>
        </w:rPr>
        <w:t>Who to contact if you have any queries on this offer?</w:t>
      </w:r>
    </w:p>
    <w:p w14:paraId="032A35F0" w14:textId="55AA988F" w:rsidR="00933394" w:rsidRDefault="00933394" w:rsidP="00B07B65">
      <w:pPr>
        <w:jc w:val="both"/>
        <w:rPr>
          <w:rFonts w:cs="Arial"/>
          <w:iCs/>
        </w:rPr>
      </w:pPr>
    </w:p>
    <w:p w14:paraId="0CAB936C" w14:textId="699BCB11" w:rsidR="00E37D39" w:rsidRDefault="00B07B65" w:rsidP="00B07B65">
      <w:pPr>
        <w:jc w:val="both"/>
        <w:rPr>
          <w:rFonts w:asciiTheme="minorHAnsi" w:hAnsiTheme="minorHAnsi" w:cstheme="minorHAnsi"/>
        </w:rPr>
      </w:pPr>
      <w:r w:rsidRPr="00413D35">
        <w:rPr>
          <w:rFonts w:cs="Arial"/>
          <w:iCs/>
          <w:color w:val="1C1C1C"/>
        </w:rPr>
        <w:t xml:space="preserve">The </w:t>
      </w:r>
      <w:r w:rsidR="008A2EE5" w:rsidRPr="00413D35">
        <w:rPr>
          <w:rFonts w:cs="Arial"/>
          <w:iCs/>
          <w:color w:val="1C1C1C"/>
        </w:rPr>
        <w:t>NHSE</w:t>
      </w:r>
      <w:r w:rsidRPr="00413D35">
        <w:rPr>
          <w:rFonts w:cs="Arial"/>
          <w:iCs/>
          <w:color w:val="1C1C1C"/>
        </w:rPr>
        <w:t xml:space="preserve"> SE Cancer and Diagnostics Programme </w:t>
      </w:r>
      <w:r>
        <w:rPr>
          <w:rFonts w:cs="Arial"/>
          <w:iCs/>
        </w:rPr>
        <w:t xml:space="preserve">- </w:t>
      </w:r>
      <w:hyperlink r:id="rId18" w:history="1">
        <w:r w:rsidR="00984192" w:rsidRPr="00A665DB">
          <w:rPr>
            <w:rStyle w:val="Hyperlink"/>
            <w:rFonts w:asciiTheme="minorHAnsi" w:hAnsiTheme="minorHAnsi" w:cstheme="minorHAnsi"/>
          </w:rPr>
          <w:t>england.canceranddiagnostics.se@nhs.net</w:t>
        </w:r>
      </w:hyperlink>
      <w:r w:rsidR="00984192">
        <w:rPr>
          <w:rFonts w:asciiTheme="minorHAnsi" w:hAnsiTheme="minorHAnsi" w:cstheme="minorHAnsi"/>
        </w:rPr>
        <w:t xml:space="preserve"> </w:t>
      </w:r>
    </w:p>
    <w:p w14:paraId="1FE7B8C7" w14:textId="413EC062" w:rsidR="00B07B65" w:rsidRPr="00671357" w:rsidRDefault="00E37D39" w:rsidP="00671357">
      <w:pPr>
        <w:rPr>
          <w:rFonts w:asciiTheme="minorHAnsi" w:hAnsiTheme="minorHAnsi" w:cstheme="minorHAnsi"/>
        </w:rPr>
      </w:pPr>
      <w:r>
        <w:rPr>
          <w:rFonts w:asciiTheme="minorHAnsi" w:hAnsiTheme="minorHAnsi" w:cstheme="minorHAnsi"/>
        </w:rPr>
        <w:br w:type="page"/>
      </w:r>
      <w:r w:rsidRPr="00E37D39">
        <w:rPr>
          <w:b/>
          <w:bCs/>
          <w:color w:val="00A9CE"/>
          <w:sz w:val="36"/>
          <w:szCs w:val="36"/>
        </w:rPr>
        <w:lastRenderedPageBreak/>
        <w:t xml:space="preserve">Frequently Asked Questions </w:t>
      </w:r>
    </w:p>
    <w:p w14:paraId="031B92C5" w14:textId="77777777" w:rsidR="00F808E1" w:rsidRDefault="00F808E1" w:rsidP="00B07B65">
      <w:pPr>
        <w:jc w:val="both"/>
        <w:rPr>
          <w:b/>
          <w:bCs/>
          <w:color w:val="00A9CE"/>
          <w:sz w:val="36"/>
          <w:szCs w:val="36"/>
        </w:rPr>
      </w:pPr>
    </w:p>
    <w:tbl>
      <w:tblPr>
        <w:tblStyle w:val="TableGrid"/>
        <w:tblW w:w="10584" w:type="dxa"/>
        <w:jc w:val="center"/>
        <w:tblLook w:val="04A0" w:firstRow="1" w:lastRow="0" w:firstColumn="1" w:lastColumn="0" w:noHBand="0" w:noVBand="1"/>
      </w:tblPr>
      <w:tblGrid>
        <w:gridCol w:w="3681"/>
        <w:gridCol w:w="6903"/>
      </w:tblGrid>
      <w:tr w:rsidR="004A261C" w:rsidRPr="00FA6D00" w14:paraId="7E02B225" w14:textId="77777777" w:rsidTr="009923FA">
        <w:trPr>
          <w:trHeight w:val="861"/>
          <w:jc w:val="center"/>
        </w:trPr>
        <w:tc>
          <w:tcPr>
            <w:tcW w:w="3681" w:type="dxa"/>
            <w:shd w:val="clear" w:color="auto" w:fill="002060"/>
            <w:vAlign w:val="center"/>
          </w:tcPr>
          <w:p w14:paraId="473A04C4" w14:textId="77777777" w:rsidR="004A261C" w:rsidRPr="00FA6D00" w:rsidRDefault="004A261C" w:rsidP="009923FA">
            <w:pPr>
              <w:jc w:val="both"/>
              <w:rPr>
                <w:rFonts w:cs="Arial"/>
                <w:b/>
                <w:bCs/>
                <w:color w:val="FFFFFF" w:themeColor="background1"/>
              </w:rPr>
            </w:pPr>
            <w:r w:rsidRPr="00FA6D00">
              <w:rPr>
                <w:rFonts w:cs="Arial"/>
                <w:b/>
                <w:bCs/>
                <w:color w:val="FFFFFF" w:themeColor="background1"/>
              </w:rPr>
              <w:t>Question</w:t>
            </w:r>
          </w:p>
        </w:tc>
        <w:tc>
          <w:tcPr>
            <w:tcW w:w="6903" w:type="dxa"/>
            <w:shd w:val="clear" w:color="auto" w:fill="002060"/>
            <w:vAlign w:val="center"/>
          </w:tcPr>
          <w:p w14:paraId="17D5BEBA" w14:textId="77777777" w:rsidR="004A261C" w:rsidRPr="00FA6D00" w:rsidRDefault="004A261C" w:rsidP="009923FA">
            <w:pPr>
              <w:jc w:val="both"/>
              <w:rPr>
                <w:rFonts w:cs="Arial"/>
                <w:b/>
                <w:bCs/>
                <w:color w:val="FFFFFF" w:themeColor="background1"/>
              </w:rPr>
            </w:pPr>
            <w:r w:rsidRPr="00FA6D00">
              <w:rPr>
                <w:rFonts w:cs="Arial"/>
                <w:b/>
                <w:bCs/>
                <w:color w:val="FFFFFF" w:themeColor="background1"/>
              </w:rPr>
              <w:t xml:space="preserve">Response </w:t>
            </w:r>
          </w:p>
        </w:tc>
      </w:tr>
      <w:tr w:rsidR="004A261C" w:rsidRPr="00FA6D00" w14:paraId="6E4753FF" w14:textId="77777777" w:rsidTr="004A261C">
        <w:trPr>
          <w:trHeight w:val="861"/>
          <w:jc w:val="center"/>
        </w:trPr>
        <w:tc>
          <w:tcPr>
            <w:tcW w:w="3681" w:type="dxa"/>
            <w:shd w:val="clear" w:color="auto" w:fill="002060"/>
            <w:vAlign w:val="center"/>
          </w:tcPr>
          <w:p w14:paraId="487927B5" w14:textId="77777777" w:rsidR="004A261C" w:rsidRPr="00FA6D00" w:rsidRDefault="004A261C" w:rsidP="004A261C">
            <w:pPr>
              <w:rPr>
                <w:rFonts w:cs="Arial"/>
                <w:b/>
                <w:bCs/>
                <w:color w:val="FFFFFF" w:themeColor="background1"/>
              </w:rPr>
            </w:pPr>
            <w:r w:rsidRPr="00FA6D00">
              <w:rPr>
                <w:rFonts w:cs="Arial"/>
                <w:b/>
                <w:bCs/>
                <w:color w:val="FFFFFF" w:themeColor="background1"/>
              </w:rPr>
              <w:t>Which professional groups can utilise this funding?</w:t>
            </w:r>
          </w:p>
          <w:p w14:paraId="6AF524BE" w14:textId="77777777" w:rsidR="004A261C" w:rsidRPr="00FA6D00" w:rsidRDefault="004A261C" w:rsidP="004A261C">
            <w:pPr>
              <w:rPr>
                <w:rFonts w:cs="Arial"/>
                <w:b/>
                <w:bCs/>
                <w:color w:val="FFFFFF" w:themeColor="background1"/>
              </w:rPr>
            </w:pPr>
          </w:p>
        </w:tc>
        <w:tc>
          <w:tcPr>
            <w:tcW w:w="6903" w:type="dxa"/>
            <w:shd w:val="clear" w:color="auto" w:fill="auto"/>
            <w:vAlign w:val="center"/>
          </w:tcPr>
          <w:p w14:paraId="598F6CA1" w14:textId="596DC7D2" w:rsidR="004A261C" w:rsidRPr="004A261C" w:rsidRDefault="004A261C" w:rsidP="004A261C">
            <w:pPr>
              <w:rPr>
                <w:rFonts w:cs="Arial"/>
              </w:rPr>
            </w:pPr>
            <w:r w:rsidRPr="004A261C">
              <w:rPr>
                <w:rFonts w:cs="Arial"/>
              </w:rPr>
              <w:t>Healthcare Science</w:t>
            </w:r>
          </w:p>
        </w:tc>
      </w:tr>
      <w:tr w:rsidR="004A261C" w:rsidRPr="00FA6D00" w14:paraId="7150BB46" w14:textId="77777777" w:rsidTr="004A261C">
        <w:trPr>
          <w:trHeight w:val="185"/>
          <w:jc w:val="center"/>
        </w:trPr>
        <w:tc>
          <w:tcPr>
            <w:tcW w:w="3681" w:type="dxa"/>
            <w:vMerge w:val="restart"/>
            <w:shd w:val="clear" w:color="auto" w:fill="002060"/>
            <w:vAlign w:val="center"/>
          </w:tcPr>
          <w:p w14:paraId="416E52FA" w14:textId="77777777" w:rsidR="004A261C" w:rsidRPr="00FA6D00" w:rsidRDefault="004A261C" w:rsidP="004A261C">
            <w:pPr>
              <w:rPr>
                <w:rFonts w:cs="Arial"/>
                <w:b/>
                <w:bCs/>
                <w:color w:val="FFFFFF" w:themeColor="background1"/>
              </w:rPr>
            </w:pPr>
            <w:r w:rsidRPr="00FA6D00">
              <w:rPr>
                <w:rFonts w:cs="Arial"/>
                <w:b/>
                <w:bCs/>
                <w:color w:val="FFFFFF" w:themeColor="background1"/>
              </w:rPr>
              <w:t xml:space="preserve">What is the aim of the funding? </w:t>
            </w:r>
          </w:p>
        </w:tc>
        <w:tc>
          <w:tcPr>
            <w:tcW w:w="6903" w:type="dxa"/>
            <w:vAlign w:val="center"/>
          </w:tcPr>
          <w:p w14:paraId="407205AE" w14:textId="77777777" w:rsidR="004A261C" w:rsidRPr="004A261C" w:rsidRDefault="004A261C" w:rsidP="004A261C">
            <w:pPr>
              <w:rPr>
                <w:rFonts w:cs="Arial"/>
              </w:rPr>
            </w:pPr>
            <w:r w:rsidRPr="004A261C">
              <w:rPr>
                <w:rFonts w:cs="Arial"/>
              </w:rPr>
              <w:t xml:space="preserve">The purpose of this funding is to: </w:t>
            </w:r>
          </w:p>
        </w:tc>
      </w:tr>
      <w:tr w:rsidR="004A261C" w:rsidRPr="00FA6D00" w14:paraId="67ED6238" w14:textId="77777777" w:rsidTr="004A261C">
        <w:trPr>
          <w:trHeight w:val="393"/>
          <w:jc w:val="center"/>
        </w:trPr>
        <w:tc>
          <w:tcPr>
            <w:tcW w:w="3681" w:type="dxa"/>
            <w:vMerge/>
            <w:shd w:val="clear" w:color="auto" w:fill="002060"/>
            <w:vAlign w:val="center"/>
          </w:tcPr>
          <w:p w14:paraId="412D6F2E" w14:textId="77777777" w:rsidR="004A261C" w:rsidRPr="00FA6D00" w:rsidRDefault="004A261C" w:rsidP="004A261C">
            <w:pPr>
              <w:rPr>
                <w:rFonts w:cs="Arial"/>
                <w:b/>
                <w:bCs/>
                <w:color w:val="FFFFFF" w:themeColor="background1"/>
              </w:rPr>
            </w:pPr>
          </w:p>
        </w:tc>
        <w:tc>
          <w:tcPr>
            <w:tcW w:w="6903" w:type="dxa"/>
            <w:vAlign w:val="center"/>
          </w:tcPr>
          <w:p w14:paraId="070F1034" w14:textId="22546052" w:rsidR="004A261C" w:rsidRPr="004A261C" w:rsidRDefault="004A261C" w:rsidP="004A261C">
            <w:pPr>
              <w:pStyle w:val="ListParagraph"/>
              <w:numPr>
                <w:ilvl w:val="0"/>
                <w:numId w:val="22"/>
              </w:numPr>
              <w:ind w:left="462" w:hanging="284"/>
              <w:rPr>
                <w:rFonts w:cs="Arial"/>
              </w:rPr>
            </w:pPr>
            <w:r w:rsidRPr="004A261C">
              <w:rPr>
                <w:rFonts w:cs="Arial"/>
              </w:rPr>
              <w:t xml:space="preserve">support meeting challenges in the pathology workforce </w:t>
            </w:r>
          </w:p>
        </w:tc>
      </w:tr>
      <w:tr w:rsidR="004A261C" w:rsidRPr="00FA6D00" w14:paraId="2C82392C" w14:textId="77777777" w:rsidTr="004A261C">
        <w:trPr>
          <w:trHeight w:val="414"/>
          <w:jc w:val="center"/>
        </w:trPr>
        <w:tc>
          <w:tcPr>
            <w:tcW w:w="3681" w:type="dxa"/>
            <w:vMerge/>
            <w:shd w:val="clear" w:color="auto" w:fill="002060"/>
            <w:vAlign w:val="center"/>
          </w:tcPr>
          <w:p w14:paraId="18DDFB8D" w14:textId="77777777" w:rsidR="004A261C" w:rsidRPr="00FA6D00" w:rsidRDefault="004A261C" w:rsidP="004A261C">
            <w:pPr>
              <w:rPr>
                <w:rFonts w:cs="Arial"/>
                <w:b/>
                <w:bCs/>
                <w:color w:val="FFFFFF" w:themeColor="background1"/>
              </w:rPr>
            </w:pPr>
          </w:p>
        </w:tc>
        <w:tc>
          <w:tcPr>
            <w:tcW w:w="6903" w:type="dxa"/>
            <w:vAlign w:val="center"/>
          </w:tcPr>
          <w:p w14:paraId="170817B5" w14:textId="77777777" w:rsidR="004A261C" w:rsidRPr="004A261C" w:rsidRDefault="004A261C" w:rsidP="004A261C">
            <w:pPr>
              <w:pStyle w:val="ListParagraph"/>
              <w:numPr>
                <w:ilvl w:val="0"/>
                <w:numId w:val="22"/>
              </w:numPr>
              <w:ind w:left="462" w:hanging="284"/>
              <w:rPr>
                <w:rFonts w:cs="Arial"/>
              </w:rPr>
            </w:pPr>
            <w:r w:rsidRPr="004A261C">
              <w:rPr>
                <w:rFonts w:cs="Arial"/>
              </w:rPr>
              <w:t>promote the tangible benefits apprenticeships bring to the NHS</w:t>
            </w:r>
          </w:p>
        </w:tc>
      </w:tr>
      <w:tr w:rsidR="004A261C" w:rsidRPr="00FA6D00" w14:paraId="28FCF85C" w14:textId="77777777" w:rsidTr="004A261C">
        <w:trPr>
          <w:trHeight w:val="354"/>
          <w:jc w:val="center"/>
        </w:trPr>
        <w:tc>
          <w:tcPr>
            <w:tcW w:w="3681" w:type="dxa"/>
            <w:vMerge w:val="restart"/>
            <w:shd w:val="clear" w:color="auto" w:fill="002060"/>
            <w:vAlign w:val="center"/>
          </w:tcPr>
          <w:p w14:paraId="1AD80C3A" w14:textId="77777777" w:rsidR="004A261C" w:rsidRPr="00FA6D00" w:rsidRDefault="004A261C" w:rsidP="004A261C">
            <w:pPr>
              <w:rPr>
                <w:rFonts w:cs="Arial"/>
                <w:b/>
                <w:bCs/>
                <w:color w:val="FFFFFF" w:themeColor="background1"/>
              </w:rPr>
            </w:pPr>
            <w:r w:rsidRPr="00FA6D00">
              <w:rPr>
                <w:rFonts w:cs="Arial"/>
                <w:b/>
                <w:bCs/>
                <w:color w:val="FFFFFF" w:themeColor="background1"/>
              </w:rPr>
              <w:t>How can this funding be utilised?</w:t>
            </w:r>
          </w:p>
        </w:tc>
        <w:tc>
          <w:tcPr>
            <w:tcW w:w="6903" w:type="dxa"/>
            <w:vAlign w:val="center"/>
          </w:tcPr>
          <w:p w14:paraId="6D59CC3C" w14:textId="77777777" w:rsidR="004A261C" w:rsidRPr="004A261C" w:rsidRDefault="004A261C" w:rsidP="004A261C">
            <w:pPr>
              <w:pStyle w:val="ListParagraph"/>
              <w:numPr>
                <w:ilvl w:val="0"/>
                <w:numId w:val="22"/>
              </w:numPr>
              <w:ind w:left="462" w:hanging="284"/>
              <w:rPr>
                <w:rFonts w:cs="Arial"/>
              </w:rPr>
            </w:pPr>
            <w:r w:rsidRPr="004A261C">
              <w:rPr>
                <w:rFonts w:cs="Arial"/>
              </w:rPr>
              <w:t>training and supervision expenses</w:t>
            </w:r>
          </w:p>
        </w:tc>
      </w:tr>
      <w:tr w:rsidR="004A261C" w:rsidRPr="00FA6D00" w14:paraId="6122E656" w14:textId="77777777" w:rsidTr="004A261C">
        <w:trPr>
          <w:trHeight w:val="181"/>
          <w:jc w:val="center"/>
        </w:trPr>
        <w:tc>
          <w:tcPr>
            <w:tcW w:w="3681" w:type="dxa"/>
            <w:vMerge/>
            <w:shd w:val="clear" w:color="auto" w:fill="002060"/>
            <w:vAlign w:val="center"/>
          </w:tcPr>
          <w:p w14:paraId="0BD09DE4" w14:textId="77777777" w:rsidR="004A261C" w:rsidRPr="00FA6D00" w:rsidRDefault="004A261C" w:rsidP="004A261C">
            <w:pPr>
              <w:rPr>
                <w:rFonts w:cs="Arial"/>
                <w:b/>
                <w:bCs/>
                <w:color w:val="FFFFFF" w:themeColor="background1"/>
              </w:rPr>
            </w:pPr>
          </w:p>
        </w:tc>
        <w:tc>
          <w:tcPr>
            <w:tcW w:w="6903" w:type="dxa"/>
            <w:vAlign w:val="center"/>
          </w:tcPr>
          <w:p w14:paraId="5D45FDB5" w14:textId="77777777" w:rsidR="004A261C" w:rsidRPr="004A261C" w:rsidRDefault="004A261C" w:rsidP="004A261C">
            <w:pPr>
              <w:pStyle w:val="ListParagraph"/>
              <w:numPr>
                <w:ilvl w:val="0"/>
                <w:numId w:val="22"/>
              </w:numPr>
              <w:ind w:left="462" w:hanging="284"/>
              <w:rPr>
                <w:rFonts w:cs="Arial"/>
              </w:rPr>
            </w:pPr>
            <w:r w:rsidRPr="004A261C">
              <w:rPr>
                <w:rFonts w:cs="Arial"/>
              </w:rPr>
              <w:t xml:space="preserve">clinical supervision/mentorship </w:t>
            </w:r>
          </w:p>
        </w:tc>
      </w:tr>
      <w:tr w:rsidR="004A261C" w:rsidRPr="00FA6D00" w14:paraId="051212B6" w14:textId="77777777" w:rsidTr="004A261C">
        <w:trPr>
          <w:trHeight w:val="181"/>
          <w:jc w:val="center"/>
        </w:trPr>
        <w:tc>
          <w:tcPr>
            <w:tcW w:w="3681" w:type="dxa"/>
            <w:vMerge/>
            <w:shd w:val="clear" w:color="auto" w:fill="002060"/>
            <w:vAlign w:val="center"/>
          </w:tcPr>
          <w:p w14:paraId="12EB6C6D" w14:textId="77777777" w:rsidR="004A261C" w:rsidRPr="00FA6D00" w:rsidRDefault="004A261C" w:rsidP="004A261C">
            <w:pPr>
              <w:rPr>
                <w:rFonts w:cs="Arial"/>
                <w:b/>
                <w:bCs/>
                <w:color w:val="FFFFFF" w:themeColor="background1"/>
              </w:rPr>
            </w:pPr>
          </w:p>
        </w:tc>
        <w:tc>
          <w:tcPr>
            <w:tcW w:w="6903" w:type="dxa"/>
            <w:vAlign w:val="center"/>
          </w:tcPr>
          <w:p w14:paraId="6CAB5CC0" w14:textId="77777777" w:rsidR="004A261C" w:rsidRPr="004A261C" w:rsidRDefault="004A261C" w:rsidP="004A261C">
            <w:pPr>
              <w:pStyle w:val="ListParagraph"/>
              <w:numPr>
                <w:ilvl w:val="0"/>
                <w:numId w:val="22"/>
              </w:numPr>
              <w:ind w:left="462" w:hanging="284"/>
              <w:rPr>
                <w:rFonts w:cs="Arial"/>
              </w:rPr>
            </w:pPr>
            <w:r w:rsidRPr="004A261C">
              <w:rPr>
                <w:rFonts w:cs="Arial"/>
              </w:rPr>
              <w:t>travel and subsistence expenses</w:t>
            </w:r>
          </w:p>
        </w:tc>
      </w:tr>
      <w:tr w:rsidR="004A261C" w:rsidRPr="00FA6D00" w14:paraId="3FE90498" w14:textId="77777777" w:rsidTr="004A261C">
        <w:trPr>
          <w:trHeight w:val="291"/>
          <w:jc w:val="center"/>
        </w:trPr>
        <w:tc>
          <w:tcPr>
            <w:tcW w:w="3681" w:type="dxa"/>
            <w:vMerge w:val="restart"/>
            <w:shd w:val="clear" w:color="auto" w:fill="002060"/>
            <w:vAlign w:val="center"/>
          </w:tcPr>
          <w:p w14:paraId="21648565" w14:textId="77777777" w:rsidR="004A261C" w:rsidRPr="00FA6D00" w:rsidRDefault="004A261C" w:rsidP="004A261C">
            <w:pPr>
              <w:rPr>
                <w:rFonts w:cs="Arial"/>
                <w:b/>
                <w:bCs/>
                <w:color w:val="FFFFFF" w:themeColor="background1"/>
              </w:rPr>
            </w:pPr>
            <w:r w:rsidRPr="00FA6D00">
              <w:rPr>
                <w:rFonts w:cs="Arial"/>
                <w:b/>
                <w:bCs/>
                <w:color w:val="FFFFFF" w:themeColor="background1"/>
              </w:rPr>
              <w:t xml:space="preserve">What can’t this funding be used for? </w:t>
            </w:r>
          </w:p>
        </w:tc>
        <w:tc>
          <w:tcPr>
            <w:tcW w:w="6903" w:type="dxa"/>
            <w:vAlign w:val="center"/>
          </w:tcPr>
          <w:p w14:paraId="285E2CCA" w14:textId="77777777" w:rsidR="004A261C" w:rsidRPr="004A261C" w:rsidRDefault="004A261C" w:rsidP="004A261C">
            <w:pPr>
              <w:pStyle w:val="ListParagraph"/>
              <w:numPr>
                <w:ilvl w:val="0"/>
                <w:numId w:val="22"/>
              </w:numPr>
              <w:ind w:left="462" w:hanging="284"/>
              <w:rPr>
                <w:rFonts w:cs="Arial"/>
              </w:rPr>
            </w:pPr>
            <w:r w:rsidRPr="004A261C">
              <w:rPr>
                <w:rFonts w:cs="Arial"/>
              </w:rPr>
              <w:t xml:space="preserve">Course </w:t>
            </w:r>
            <w:proofErr w:type="gramStart"/>
            <w:r w:rsidRPr="004A261C">
              <w:rPr>
                <w:rFonts w:cs="Arial"/>
              </w:rPr>
              <w:t>fees;</w:t>
            </w:r>
            <w:proofErr w:type="gramEnd"/>
            <w:r w:rsidRPr="004A261C">
              <w:rPr>
                <w:rFonts w:cs="Arial"/>
              </w:rPr>
              <w:t xml:space="preserve"> course fees are covered by the apprenticeship levy</w:t>
            </w:r>
          </w:p>
        </w:tc>
      </w:tr>
      <w:tr w:rsidR="004A261C" w:rsidRPr="00FA6D00" w14:paraId="6AF3AE7A" w14:textId="77777777" w:rsidTr="004A261C">
        <w:trPr>
          <w:trHeight w:val="738"/>
          <w:jc w:val="center"/>
        </w:trPr>
        <w:tc>
          <w:tcPr>
            <w:tcW w:w="3681" w:type="dxa"/>
            <w:vMerge/>
            <w:shd w:val="clear" w:color="auto" w:fill="002060"/>
            <w:vAlign w:val="center"/>
          </w:tcPr>
          <w:p w14:paraId="6962126F" w14:textId="77777777" w:rsidR="004A261C" w:rsidRPr="00FA6D00" w:rsidRDefault="004A261C" w:rsidP="004A261C">
            <w:pPr>
              <w:rPr>
                <w:rFonts w:cs="Arial"/>
                <w:b/>
                <w:bCs/>
                <w:color w:val="FFFFFF" w:themeColor="background1"/>
              </w:rPr>
            </w:pPr>
          </w:p>
        </w:tc>
        <w:tc>
          <w:tcPr>
            <w:tcW w:w="6903" w:type="dxa"/>
            <w:vAlign w:val="center"/>
          </w:tcPr>
          <w:p w14:paraId="726A16A5" w14:textId="77777777" w:rsidR="004A261C" w:rsidRPr="004A261C" w:rsidRDefault="004A261C" w:rsidP="004A261C">
            <w:pPr>
              <w:pStyle w:val="ListParagraph"/>
              <w:numPr>
                <w:ilvl w:val="0"/>
                <w:numId w:val="22"/>
              </w:numPr>
              <w:ind w:left="462" w:hanging="284"/>
              <w:rPr>
                <w:rFonts w:cs="Arial"/>
              </w:rPr>
            </w:pPr>
            <w:r w:rsidRPr="004A261C">
              <w:rPr>
                <w:rFonts w:cs="Arial"/>
              </w:rPr>
              <w:t>Apprentice salary: Training grants are not intended to cover salary costs of the apprentice which would need to be met by the employer. Course fees are covered by employer access to the apprenticeship levy.</w:t>
            </w:r>
          </w:p>
        </w:tc>
      </w:tr>
      <w:tr w:rsidR="004A261C" w:rsidRPr="00FA6D00" w14:paraId="0A6705D2" w14:textId="77777777" w:rsidTr="004A261C">
        <w:trPr>
          <w:trHeight w:val="738"/>
          <w:jc w:val="center"/>
        </w:trPr>
        <w:tc>
          <w:tcPr>
            <w:tcW w:w="3681" w:type="dxa"/>
            <w:shd w:val="clear" w:color="auto" w:fill="002060"/>
            <w:vAlign w:val="center"/>
          </w:tcPr>
          <w:p w14:paraId="217965F3" w14:textId="77777777" w:rsidR="004A261C" w:rsidRPr="00FA6D00" w:rsidRDefault="004A261C" w:rsidP="004A261C">
            <w:pPr>
              <w:rPr>
                <w:rFonts w:cs="Arial"/>
                <w:b/>
                <w:bCs/>
                <w:color w:val="FFFFFF" w:themeColor="background1"/>
              </w:rPr>
            </w:pPr>
            <w:r w:rsidRPr="00FA6D00">
              <w:rPr>
                <w:rFonts w:cs="Arial"/>
                <w:b/>
                <w:bCs/>
                <w:color w:val="FFFFFF" w:themeColor="background1"/>
              </w:rPr>
              <w:t xml:space="preserve">What is the funding period? </w:t>
            </w:r>
          </w:p>
        </w:tc>
        <w:tc>
          <w:tcPr>
            <w:tcW w:w="6903" w:type="dxa"/>
            <w:vAlign w:val="center"/>
          </w:tcPr>
          <w:p w14:paraId="4948D6D8" w14:textId="77777777" w:rsidR="004A261C" w:rsidRPr="004A261C" w:rsidRDefault="004A261C" w:rsidP="004A261C">
            <w:pPr>
              <w:rPr>
                <w:rFonts w:cs="Arial"/>
              </w:rPr>
            </w:pPr>
            <w:r w:rsidRPr="004A261C">
              <w:rPr>
                <w:rFonts w:cs="Arial"/>
              </w:rPr>
              <w:t>The funding period is 1 April 2024 – 31 March 2025</w:t>
            </w:r>
          </w:p>
        </w:tc>
      </w:tr>
      <w:tr w:rsidR="004A261C" w:rsidRPr="00FA6D00" w14:paraId="40EB53A7" w14:textId="77777777" w:rsidTr="004A261C">
        <w:trPr>
          <w:trHeight w:val="738"/>
          <w:jc w:val="center"/>
        </w:trPr>
        <w:tc>
          <w:tcPr>
            <w:tcW w:w="3681" w:type="dxa"/>
            <w:shd w:val="clear" w:color="auto" w:fill="002060"/>
            <w:vAlign w:val="center"/>
          </w:tcPr>
          <w:p w14:paraId="2D570B9A" w14:textId="77777777" w:rsidR="004A261C" w:rsidRPr="00FA6D00" w:rsidRDefault="004A261C" w:rsidP="004A261C">
            <w:pPr>
              <w:rPr>
                <w:rFonts w:cs="Arial"/>
                <w:b/>
                <w:bCs/>
                <w:color w:val="FFFFFF" w:themeColor="background1"/>
              </w:rPr>
            </w:pPr>
            <w:r w:rsidRPr="00FA6D00">
              <w:rPr>
                <w:rFonts w:cs="Arial"/>
                <w:b/>
                <w:bCs/>
                <w:color w:val="FFFFFF" w:themeColor="background1"/>
              </w:rPr>
              <w:t>Can this funding be used for courses which don’t finish in 2024/25?</w:t>
            </w:r>
          </w:p>
          <w:p w14:paraId="7F64E344" w14:textId="77777777" w:rsidR="004A261C" w:rsidRPr="00FA6D00" w:rsidRDefault="004A261C" w:rsidP="004A261C">
            <w:pPr>
              <w:rPr>
                <w:rFonts w:cs="Arial"/>
                <w:b/>
                <w:bCs/>
                <w:color w:val="FFFFFF" w:themeColor="background1"/>
              </w:rPr>
            </w:pPr>
          </w:p>
        </w:tc>
        <w:tc>
          <w:tcPr>
            <w:tcW w:w="6903" w:type="dxa"/>
            <w:vAlign w:val="center"/>
          </w:tcPr>
          <w:p w14:paraId="5C6F9D1D" w14:textId="77777777" w:rsidR="004A261C" w:rsidRPr="004A261C" w:rsidRDefault="004A261C" w:rsidP="004A261C">
            <w:pPr>
              <w:rPr>
                <w:rFonts w:cs="Arial"/>
              </w:rPr>
            </w:pPr>
            <w:r w:rsidRPr="004A261C">
              <w:rPr>
                <w:rFonts w:cs="Arial"/>
              </w:rPr>
              <w:t xml:space="preserve">Yes. </w:t>
            </w:r>
            <w:proofErr w:type="gramStart"/>
            <w:r w:rsidRPr="004A261C">
              <w:rPr>
                <w:rFonts w:cs="Arial"/>
              </w:rPr>
              <w:t>A large number of</w:t>
            </w:r>
            <w:proofErr w:type="gramEnd"/>
            <w:r w:rsidRPr="004A261C">
              <w:rPr>
                <w:rFonts w:cs="Arial"/>
              </w:rPr>
              <w:t xml:space="preserve"> apprenticeship programmes last longer than 12 months. The important date to note is that the learner must have started on programme before 31 March 2025.  </w:t>
            </w:r>
          </w:p>
        </w:tc>
      </w:tr>
      <w:tr w:rsidR="004A261C" w:rsidRPr="00FA6D00" w14:paraId="13691AA5" w14:textId="77777777" w:rsidTr="004A261C">
        <w:tblPrEx>
          <w:jc w:val="left"/>
        </w:tblPrEx>
        <w:trPr>
          <w:trHeight w:val="708"/>
        </w:trPr>
        <w:tc>
          <w:tcPr>
            <w:tcW w:w="3681" w:type="dxa"/>
            <w:shd w:val="clear" w:color="auto" w:fill="002060"/>
            <w:vAlign w:val="center"/>
          </w:tcPr>
          <w:p w14:paraId="1EF4F9A6" w14:textId="77777777" w:rsidR="004A261C" w:rsidRPr="00FA6D00" w:rsidRDefault="004A261C" w:rsidP="004A261C">
            <w:pPr>
              <w:rPr>
                <w:rFonts w:cs="Arial"/>
                <w:b/>
                <w:bCs/>
                <w:color w:val="FFFFFF" w:themeColor="background1"/>
              </w:rPr>
            </w:pPr>
            <w:r w:rsidRPr="00FA6D00">
              <w:rPr>
                <w:rFonts w:cs="Arial"/>
                <w:b/>
                <w:bCs/>
                <w:color w:val="FFFFFF" w:themeColor="background1"/>
              </w:rPr>
              <w:t>Is there funding for Year 2 and Year 3 [if applicable]</w:t>
            </w:r>
          </w:p>
          <w:p w14:paraId="371A0FD3" w14:textId="77777777" w:rsidR="004A261C" w:rsidRPr="00FA6D00" w:rsidRDefault="004A261C" w:rsidP="004A261C">
            <w:pPr>
              <w:rPr>
                <w:rFonts w:cs="Arial"/>
                <w:b/>
                <w:bCs/>
                <w:color w:val="FFFFFF" w:themeColor="background1"/>
              </w:rPr>
            </w:pPr>
          </w:p>
        </w:tc>
        <w:tc>
          <w:tcPr>
            <w:tcW w:w="6903" w:type="dxa"/>
            <w:vAlign w:val="center"/>
          </w:tcPr>
          <w:p w14:paraId="7DDDE62B" w14:textId="29627099" w:rsidR="004A261C" w:rsidRPr="004A261C" w:rsidRDefault="004A261C" w:rsidP="004A261C">
            <w:pPr>
              <w:rPr>
                <w:rFonts w:eastAsia="Times New Roman" w:cs="Arial"/>
              </w:rPr>
            </w:pPr>
            <w:r w:rsidRPr="004A261C">
              <w:rPr>
                <w:rFonts w:cs="Arial"/>
              </w:rPr>
              <w:t xml:space="preserve">No; </w:t>
            </w:r>
            <w:r w:rsidR="00C51BFD">
              <w:rPr>
                <w:rFonts w:cs="Arial"/>
              </w:rPr>
              <w:t xml:space="preserve">the </w:t>
            </w:r>
            <w:r w:rsidRPr="004A261C">
              <w:rPr>
                <w:rFonts w:cs="Arial"/>
              </w:rPr>
              <w:t xml:space="preserve">NHSE training grant is to support the apprentice in their first year on programme. </w:t>
            </w:r>
          </w:p>
          <w:p w14:paraId="44D3FBA1" w14:textId="77777777" w:rsidR="004A261C" w:rsidRPr="004A261C" w:rsidRDefault="004A261C" w:rsidP="004A261C">
            <w:pPr>
              <w:rPr>
                <w:rFonts w:cs="Arial"/>
              </w:rPr>
            </w:pPr>
          </w:p>
        </w:tc>
      </w:tr>
      <w:tr w:rsidR="004A261C" w:rsidRPr="00FA6D00" w14:paraId="0CDDAE1C" w14:textId="77777777" w:rsidTr="004A261C">
        <w:tblPrEx>
          <w:jc w:val="left"/>
        </w:tblPrEx>
        <w:trPr>
          <w:trHeight w:val="708"/>
        </w:trPr>
        <w:tc>
          <w:tcPr>
            <w:tcW w:w="3681" w:type="dxa"/>
            <w:shd w:val="clear" w:color="auto" w:fill="002060"/>
            <w:vAlign w:val="center"/>
          </w:tcPr>
          <w:p w14:paraId="422FE689" w14:textId="77777777" w:rsidR="004A261C" w:rsidRPr="00FA6D00" w:rsidRDefault="004A261C" w:rsidP="004A261C">
            <w:pPr>
              <w:rPr>
                <w:rFonts w:cs="Arial"/>
                <w:b/>
                <w:bCs/>
                <w:color w:val="FFFFFF" w:themeColor="background1"/>
              </w:rPr>
            </w:pPr>
            <w:r w:rsidRPr="00FA6D00">
              <w:rPr>
                <w:rFonts w:cs="Arial"/>
                <w:b/>
                <w:bCs/>
                <w:color w:val="FFFFFF" w:themeColor="background1"/>
              </w:rPr>
              <w:t>Can the funding be used to support apprentices who have already received funding from NHSE via a 23/24 training grant?</w:t>
            </w:r>
          </w:p>
          <w:p w14:paraId="42ABF142" w14:textId="77777777" w:rsidR="004A261C" w:rsidRPr="00FA6D00" w:rsidRDefault="004A261C" w:rsidP="004A261C">
            <w:pPr>
              <w:rPr>
                <w:rFonts w:cs="Arial"/>
                <w:b/>
                <w:bCs/>
                <w:color w:val="FFFFFF" w:themeColor="background1"/>
              </w:rPr>
            </w:pPr>
          </w:p>
        </w:tc>
        <w:tc>
          <w:tcPr>
            <w:tcW w:w="6903" w:type="dxa"/>
            <w:vAlign w:val="center"/>
          </w:tcPr>
          <w:p w14:paraId="5953427F" w14:textId="77777777" w:rsidR="004A261C" w:rsidRPr="004A261C" w:rsidRDefault="004A261C" w:rsidP="004A261C">
            <w:pPr>
              <w:rPr>
                <w:rFonts w:eastAsia="Times New Roman" w:cs="Arial"/>
              </w:rPr>
            </w:pPr>
            <w:r w:rsidRPr="004A261C">
              <w:rPr>
                <w:rFonts w:cs="Arial"/>
              </w:rPr>
              <w:t xml:space="preserve">No, this training grant is to support apprentices who start the first year of their apprenticeship programme between 1 April 2024 and 31 March 2025. </w:t>
            </w:r>
          </w:p>
          <w:p w14:paraId="6A2AF3F3" w14:textId="77777777" w:rsidR="004A261C" w:rsidRPr="004A261C" w:rsidRDefault="004A261C" w:rsidP="004A261C">
            <w:pPr>
              <w:rPr>
                <w:rFonts w:cs="Arial"/>
              </w:rPr>
            </w:pPr>
          </w:p>
        </w:tc>
      </w:tr>
      <w:tr w:rsidR="004A261C" w:rsidRPr="00FA6D00" w14:paraId="378FD516" w14:textId="77777777" w:rsidTr="004A261C">
        <w:tblPrEx>
          <w:jc w:val="left"/>
        </w:tblPrEx>
        <w:trPr>
          <w:trHeight w:val="708"/>
        </w:trPr>
        <w:tc>
          <w:tcPr>
            <w:tcW w:w="3681" w:type="dxa"/>
            <w:shd w:val="clear" w:color="auto" w:fill="002060"/>
            <w:vAlign w:val="center"/>
          </w:tcPr>
          <w:p w14:paraId="2F6D332D" w14:textId="77777777" w:rsidR="004A261C" w:rsidRPr="00FA6D00" w:rsidRDefault="004A261C" w:rsidP="004A261C">
            <w:pPr>
              <w:rPr>
                <w:rFonts w:cs="Arial"/>
                <w:b/>
                <w:bCs/>
                <w:color w:val="FFFFFF" w:themeColor="background1"/>
              </w:rPr>
            </w:pPr>
            <w:r w:rsidRPr="00FA6D00">
              <w:rPr>
                <w:rFonts w:cs="Arial"/>
                <w:b/>
                <w:bCs/>
                <w:color w:val="FFFFFF" w:themeColor="background1"/>
              </w:rPr>
              <w:t>Can we use the training grant to support more than one apprentice?</w:t>
            </w:r>
          </w:p>
          <w:p w14:paraId="0B51185F" w14:textId="77777777" w:rsidR="004A261C" w:rsidRPr="00FA6D00" w:rsidRDefault="004A261C" w:rsidP="004A261C">
            <w:pPr>
              <w:rPr>
                <w:rFonts w:cs="Arial"/>
                <w:b/>
                <w:bCs/>
                <w:color w:val="FFFFFF" w:themeColor="background1"/>
              </w:rPr>
            </w:pPr>
          </w:p>
        </w:tc>
        <w:tc>
          <w:tcPr>
            <w:tcW w:w="6903" w:type="dxa"/>
            <w:vAlign w:val="center"/>
          </w:tcPr>
          <w:p w14:paraId="4120B1E1" w14:textId="2C9375F1" w:rsidR="004A261C" w:rsidRPr="004A261C" w:rsidRDefault="004A261C" w:rsidP="004A261C">
            <w:pPr>
              <w:rPr>
                <w:rFonts w:eastAsia="Times New Roman" w:cs="Arial"/>
              </w:rPr>
            </w:pPr>
            <w:r w:rsidRPr="00C23C86">
              <w:rPr>
                <w:rFonts w:cs="Arial"/>
              </w:rPr>
              <w:t>No, the training grant total unit cost of £10,</w:t>
            </w:r>
            <w:r w:rsidR="00C51BFD">
              <w:rPr>
                <w:rFonts w:cs="Arial"/>
              </w:rPr>
              <w:t>612</w:t>
            </w:r>
            <w:r w:rsidRPr="00C23C86">
              <w:rPr>
                <w:rFonts w:cs="Arial"/>
              </w:rPr>
              <w:t xml:space="preserve"> is nationally agreed and for use to support one individual apprentice only.</w:t>
            </w:r>
          </w:p>
          <w:p w14:paraId="1E54D583" w14:textId="77777777" w:rsidR="004A261C" w:rsidRPr="004A261C" w:rsidRDefault="004A261C" w:rsidP="004A261C">
            <w:pPr>
              <w:rPr>
                <w:rFonts w:cs="Arial"/>
              </w:rPr>
            </w:pPr>
          </w:p>
        </w:tc>
      </w:tr>
      <w:tr w:rsidR="004A261C" w:rsidRPr="00FA6D00" w14:paraId="63A5C5E0" w14:textId="77777777" w:rsidTr="004A261C">
        <w:tblPrEx>
          <w:jc w:val="left"/>
        </w:tblPrEx>
        <w:trPr>
          <w:trHeight w:val="205"/>
        </w:trPr>
        <w:tc>
          <w:tcPr>
            <w:tcW w:w="3681" w:type="dxa"/>
            <w:vMerge w:val="restart"/>
            <w:shd w:val="clear" w:color="auto" w:fill="002060"/>
            <w:vAlign w:val="center"/>
          </w:tcPr>
          <w:p w14:paraId="23EE864F" w14:textId="77777777" w:rsidR="004A261C" w:rsidRPr="00FA6D00" w:rsidRDefault="004A261C" w:rsidP="004A261C">
            <w:pPr>
              <w:rPr>
                <w:rFonts w:cs="Arial"/>
                <w:b/>
                <w:bCs/>
                <w:color w:val="FFFFFF" w:themeColor="background1"/>
              </w:rPr>
            </w:pPr>
            <w:r w:rsidRPr="00FA6D00">
              <w:rPr>
                <w:rFonts w:cs="Arial"/>
                <w:b/>
                <w:bCs/>
                <w:color w:val="FFFFFF" w:themeColor="background1"/>
              </w:rPr>
              <w:t>What are the requirements of accepting this funding</w:t>
            </w:r>
          </w:p>
        </w:tc>
        <w:tc>
          <w:tcPr>
            <w:tcW w:w="6903" w:type="dxa"/>
            <w:vAlign w:val="center"/>
          </w:tcPr>
          <w:p w14:paraId="10A34BF6" w14:textId="77777777" w:rsidR="004A261C" w:rsidRPr="004A261C" w:rsidRDefault="004A261C" w:rsidP="004A261C">
            <w:pPr>
              <w:pStyle w:val="ListParagraph"/>
              <w:numPr>
                <w:ilvl w:val="0"/>
                <w:numId w:val="22"/>
              </w:numPr>
              <w:ind w:left="462" w:hanging="284"/>
              <w:rPr>
                <w:rFonts w:cs="Arial"/>
              </w:rPr>
            </w:pPr>
            <w:r w:rsidRPr="004A261C">
              <w:rPr>
                <w:rFonts w:cs="Arial"/>
              </w:rPr>
              <w:t>all investment will be subject to reporting requirement</w:t>
            </w:r>
          </w:p>
        </w:tc>
      </w:tr>
      <w:tr w:rsidR="004A261C" w:rsidRPr="00FA6D00" w14:paraId="0B2D5FDB" w14:textId="77777777" w:rsidTr="004A261C">
        <w:tblPrEx>
          <w:jc w:val="left"/>
        </w:tblPrEx>
        <w:trPr>
          <w:trHeight w:val="708"/>
        </w:trPr>
        <w:tc>
          <w:tcPr>
            <w:tcW w:w="3681" w:type="dxa"/>
            <w:vMerge/>
            <w:shd w:val="clear" w:color="auto" w:fill="002060"/>
            <w:vAlign w:val="center"/>
          </w:tcPr>
          <w:p w14:paraId="69A51457" w14:textId="77777777" w:rsidR="004A261C" w:rsidRPr="00FA6D00" w:rsidRDefault="004A261C" w:rsidP="004A261C">
            <w:pPr>
              <w:rPr>
                <w:rFonts w:cs="Arial"/>
                <w:b/>
                <w:bCs/>
                <w:color w:val="FFFFFF" w:themeColor="background1"/>
              </w:rPr>
            </w:pPr>
          </w:p>
        </w:tc>
        <w:tc>
          <w:tcPr>
            <w:tcW w:w="6903" w:type="dxa"/>
            <w:vAlign w:val="center"/>
          </w:tcPr>
          <w:p w14:paraId="7D0A3202" w14:textId="77777777" w:rsidR="004A261C" w:rsidRPr="004A261C" w:rsidRDefault="004A261C" w:rsidP="004A261C">
            <w:pPr>
              <w:pStyle w:val="ListParagraph"/>
              <w:numPr>
                <w:ilvl w:val="0"/>
                <w:numId w:val="22"/>
              </w:numPr>
              <w:ind w:left="462" w:hanging="284"/>
              <w:rPr>
                <w:rFonts w:cs="Arial"/>
              </w:rPr>
            </w:pPr>
            <w:r w:rsidRPr="004A261C">
              <w:rPr>
                <w:rFonts w:cs="Arial"/>
              </w:rPr>
              <w:t>all funding must be managed appropriately in line with individual organisation’s financial management and assurance processes.</w:t>
            </w:r>
          </w:p>
        </w:tc>
      </w:tr>
      <w:tr w:rsidR="004A261C" w:rsidRPr="00FA6D00" w14:paraId="379A69B0" w14:textId="77777777" w:rsidTr="004A261C">
        <w:tblPrEx>
          <w:jc w:val="left"/>
        </w:tblPrEx>
        <w:trPr>
          <w:trHeight w:val="347"/>
        </w:trPr>
        <w:tc>
          <w:tcPr>
            <w:tcW w:w="3681" w:type="dxa"/>
            <w:vMerge/>
            <w:shd w:val="clear" w:color="auto" w:fill="002060"/>
            <w:vAlign w:val="center"/>
          </w:tcPr>
          <w:p w14:paraId="66C3020A" w14:textId="77777777" w:rsidR="004A261C" w:rsidRPr="00FA6D00" w:rsidRDefault="004A261C" w:rsidP="004A261C">
            <w:pPr>
              <w:rPr>
                <w:rFonts w:cs="Arial"/>
                <w:b/>
                <w:bCs/>
                <w:color w:val="FFFFFF" w:themeColor="background1"/>
              </w:rPr>
            </w:pPr>
          </w:p>
        </w:tc>
        <w:tc>
          <w:tcPr>
            <w:tcW w:w="6903" w:type="dxa"/>
            <w:vAlign w:val="center"/>
          </w:tcPr>
          <w:p w14:paraId="62321D49" w14:textId="77777777" w:rsidR="004A261C" w:rsidRPr="004A261C" w:rsidRDefault="004A261C" w:rsidP="004A261C">
            <w:pPr>
              <w:pStyle w:val="ListParagraph"/>
              <w:numPr>
                <w:ilvl w:val="0"/>
                <w:numId w:val="22"/>
              </w:numPr>
              <w:ind w:left="462" w:hanging="284"/>
              <w:rPr>
                <w:rFonts w:cs="Arial"/>
              </w:rPr>
            </w:pPr>
            <w:r w:rsidRPr="004A261C">
              <w:rPr>
                <w:rFonts w:cs="Arial"/>
              </w:rPr>
              <w:t>Managers must support their staff to access training</w:t>
            </w:r>
          </w:p>
        </w:tc>
      </w:tr>
    </w:tbl>
    <w:p w14:paraId="764DDA0C" w14:textId="77777777" w:rsidR="00F808E1" w:rsidRDefault="00F808E1" w:rsidP="00B07B65">
      <w:pPr>
        <w:jc w:val="both"/>
        <w:rPr>
          <w:b/>
          <w:bCs/>
          <w:color w:val="00A9CE"/>
          <w:sz w:val="36"/>
          <w:szCs w:val="36"/>
        </w:rPr>
      </w:pPr>
    </w:p>
    <w:p w14:paraId="649470FB" w14:textId="77777777" w:rsidR="00F808E1" w:rsidRPr="00E37D39" w:rsidRDefault="00F808E1" w:rsidP="00B07B65">
      <w:pPr>
        <w:jc w:val="both"/>
        <w:rPr>
          <w:b/>
          <w:bCs/>
          <w:color w:val="00A9CE"/>
          <w:sz w:val="36"/>
          <w:szCs w:val="36"/>
        </w:rPr>
      </w:pPr>
    </w:p>
    <w:sectPr w:rsidR="00F808E1" w:rsidRPr="00E37D39" w:rsidSect="00791FAC">
      <w:headerReference w:type="default" r:id="rId19"/>
      <w:footerReference w:type="even" r:id="rId20"/>
      <w:footerReference w:type="default" r:id="rId21"/>
      <w:headerReference w:type="first" r:id="rId22"/>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30E70" w14:textId="77777777" w:rsidR="00C54661" w:rsidRDefault="00C54661" w:rsidP="00AC72FD">
      <w:r>
        <w:separator/>
      </w:r>
    </w:p>
  </w:endnote>
  <w:endnote w:type="continuationSeparator" w:id="0">
    <w:p w14:paraId="4B0BC699" w14:textId="77777777" w:rsidR="00C54661" w:rsidRDefault="00C54661" w:rsidP="00AC72FD">
      <w:r>
        <w:continuationSeparator/>
      </w:r>
    </w:p>
  </w:endnote>
  <w:endnote w:type="continuationNotice" w:id="1">
    <w:p w14:paraId="1ED6391D" w14:textId="77777777" w:rsidR="00C54661" w:rsidRDefault="00C54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145E7" w14:textId="77777777" w:rsidR="00C54661" w:rsidRDefault="00C54661" w:rsidP="00AC72FD">
      <w:r>
        <w:separator/>
      </w:r>
    </w:p>
  </w:footnote>
  <w:footnote w:type="continuationSeparator" w:id="0">
    <w:p w14:paraId="6E19F300" w14:textId="77777777" w:rsidR="00C54661" w:rsidRDefault="00C54661" w:rsidP="00AC72FD">
      <w:r>
        <w:continuationSeparator/>
      </w:r>
    </w:p>
  </w:footnote>
  <w:footnote w:type="continuationNotice" w:id="1">
    <w:p w14:paraId="42BFDCA5" w14:textId="77777777" w:rsidR="00C54661" w:rsidRDefault="00C546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7E1D7" w14:textId="6ECE7891" w:rsidR="00ED2809" w:rsidRPr="00AC72FD" w:rsidRDefault="00DC72BC" w:rsidP="00964AF4">
    <w:pPr>
      <w:pStyle w:val="Heading2"/>
      <w:spacing w:after="400"/>
      <w:jc w:val="right"/>
    </w:pPr>
    <w:r>
      <w:t xml:space="preserve">Round </w:t>
    </w:r>
    <w:r w:rsidR="00C51BFD">
      <w:t>3</w:t>
    </w:r>
    <w:r>
      <w:t xml:space="preserve"> applications: </w:t>
    </w:r>
    <w:r w:rsidR="005B2AA5">
      <w:t xml:space="preserve">South East </w:t>
    </w:r>
    <w:r w:rsidR="000F74D4">
      <w:t>Pathology Apprenticeship Training Grant</w:t>
    </w:r>
    <w:r w:rsidR="005B2AA5">
      <w:t xml:space="preserve"> Funding </w:t>
    </w:r>
    <w:r w:rsidR="00FA518F">
      <w:t>2024-25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44F1E" w14:textId="093197E5" w:rsidR="00EB29B9" w:rsidRDefault="00C53600">
    <w:pPr>
      <w:pStyle w:val="Header"/>
    </w:pPr>
    <w:r>
      <w:rPr>
        <w:noProof/>
      </w:rPr>
      <w:drawing>
        <wp:anchor distT="0" distB="0" distL="114300" distR="114300" simplePos="0" relativeHeight="251658240" behindDoc="1" locked="0" layoutInCell="1" allowOverlap="1" wp14:anchorId="581894B0" wp14:editId="5B8919AA">
          <wp:simplePos x="0" y="0"/>
          <wp:positionH relativeFrom="margin">
            <wp:posOffset>5595409</wp:posOffset>
          </wp:positionH>
          <wp:positionV relativeFrom="paragraph">
            <wp:posOffset>88477</wp:posOffset>
          </wp:positionV>
          <wp:extent cx="973455" cy="730250"/>
          <wp:effectExtent l="0" t="0" r="0" b="0"/>
          <wp:wrapTight wrapText="bothSides">
            <wp:wrapPolygon edited="0">
              <wp:start x="0" y="0"/>
              <wp:lineTo x="0" y="20849"/>
              <wp:lineTo x="21135" y="20849"/>
              <wp:lineTo x="21135" y="0"/>
              <wp:lineTo x="0" y="0"/>
            </wp:wrapPolygon>
          </wp:wrapTight>
          <wp:docPr id="3" name="Picture 3"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with low confidence"/>
                  <pic:cNvPicPr/>
                </pic:nvPicPr>
                <pic:blipFill>
                  <a:blip r:embed="rId1"/>
                  <a:stretch>
                    <a:fillRect/>
                  </a:stretch>
                </pic:blipFill>
                <pic:spPr>
                  <a:xfrm>
                    <a:off x="0" y="0"/>
                    <a:ext cx="973455" cy="730250"/>
                  </a:xfrm>
                  <a:prstGeom prst="rect">
                    <a:avLst/>
                  </a:prstGeom>
                </pic:spPr>
              </pic:pic>
            </a:graphicData>
          </a:graphic>
          <wp14:sizeRelH relativeFrom="margin">
            <wp14:pctWidth>0</wp14:pctWidth>
          </wp14:sizeRelH>
          <wp14:sizeRelV relativeFrom="margin">
            <wp14:pctHeight>0</wp14:pctHeight>
          </wp14:sizeRelV>
        </wp:anchor>
      </w:drawing>
    </w:r>
    <w:r w:rsidR="00EB29B9">
      <w:rPr>
        <w:noProof/>
      </w:rPr>
      <mc:AlternateContent>
        <mc:Choice Requires="wps">
          <w:drawing>
            <wp:inline distT="0" distB="0" distL="0" distR="0" wp14:anchorId="56738A35" wp14:editId="0B0A9DE5">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92D556"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62D47"/>
    <w:multiLevelType w:val="hybridMultilevel"/>
    <w:tmpl w:val="2DE40C3E"/>
    <w:lvl w:ilvl="0" w:tplc="20D4E734">
      <w:start w:val="1"/>
      <w:numFmt w:val="lowerRoman"/>
      <w:lvlText w:val="%1."/>
      <w:lvlJc w:val="left"/>
      <w:pPr>
        <w:ind w:left="1080" w:hanging="720"/>
      </w:pPr>
      <w:rPr>
        <w:rFonts w:hint="default"/>
        <w:b w:val="0"/>
        <w:bCs/>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517848"/>
    <w:multiLevelType w:val="hybridMultilevel"/>
    <w:tmpl w:val="77FEF1F4"/>
    <w:lvl w:ilvl="0" w:tplc="DE54DE3A">
      <w:start w:val="1"/>
      <w:numFmt w:val="bullet"/>
      <w:lvlText w:val=""/>
      <w:lvlJc w:val="left"/>
      <w:pPr>
        <w:ind w:left="720" w:hanging="360"/>
      </w:pPr>
      <w:rPr>
        <w:rFonts w:ascii="Symbol" w:hAnsi="Symbol"/>
      </w:rPr>
    </w:lvl>
    <w:lvl w:ilvl="1" w:tplc="D132FF1C">
      <w:start w:val="1"/>
      <w:numFmt w:val="bullet"/>
      <w:lvlText w:val=""/>
      <w:lvlJc w:val="left"/>
      <w:pPr>
        <w:ind w:left="720" w:hanging="360"/>
      </w:pPr>
      <w:rPr>
        <w:rFonts w:ascii="Symbol" w:hAnsi="Symbol"/>
      </w:rPr>
    </w:lvl>
    <w:lvl w:ilvl="2" w:tplc="925A0342">
      <w:start w:val="1"/>
      <w:numFmt w:val="bullet"/>
      <w:lvlText w:val=""/>
      <w:lvlJc w:val="left"/>
      <w:pPr>
        <w:ind w:left="720" w:hanging="360"/>
      </w:pPr>
      <w:rPr>
        <w:rFonts w:ascii="Symbol" w:hAnsi="Symbol"/>
      </w:rPr>
    </w:lvl>
    <w:lvl w:ilvl="3" w:tplc="3FFC2B56">
      <w:start w:val="1"/>
      <w:numFmt w:val="bullet"/>
      <w:lvlText w:val=""/>
      <w:lvlJc w:val="left"/>
      <w:pPr>
        <w:ind w:left="720" w:hanging="360"/>
      </w:pPr>
      <w:rPr>
        <w:rFonts w:ascii="Symbol" w:hAnsi="Symbol"/>
      </w:rPr>
    </w:lvl>
    <w:lvl w:ilvl="4" w:tplc="F34E9580">
      <w:start w:val="1"/>
      <w:numFmt w:val="bullet"/>
      <w:lvlText w:val=""/>
      <w:lvlJc w:val="left"/>
      <w:pPr>
        <w:ind w:left="720" w:hanging="360"/>
      </w:pPr>
      <w:rPr>
        <w:rFonts w:ascii="Symbol" w:hAnsi="Symbol"/>
      </w:rPr>
    </w:lvl>
    <w:lvl w:ilvl="5" w:tplc="EEE8C0E0">
      <w:start w:val="1"/>
      <w:numFmt w:val="bullet"/>
      <w:lvlText w:val=""/>
      <w:lvlJc w:val="left"/>
      <w:pPr>
        <w:ind w:left="720" w:hanging="360"/>
      </w:pPr>
      <w:rPr>
        <w:rFonts w:ascii="Symbol" w:hAnsi="Symbol"/>
      </w:rPr>
    </w:lvl>
    <w:lvl w:ilvl="6" w:tplc="C98A61D4">
      <w:start w:val="1"/>
      <w:numFmt w:val="bullet"/>
      <w:lvlText w:val=""/>
      <w:lvlJc w:val="left"/>
      <w:pPr>
        <w:ind w:left="720" w:hanging="360"/>
      </w:pPr>
      <w:rPr>
        <w:rFonts w:ascii="Symbol" w:hAnsi="Symbol"/>
      </w:rPr>
    </w:lvl>
    <w:lvl w:ilvl="7" w:tplc="558C40EA">
      <w:start w:val="1"/>
      <w:numFmt w:val="bullet"/>
      <w:lvlText w:val=""/>
      <w:lvlJc w:val="left"/>
      <w:pPr>
        <w:ind w:left="720" w:hanging="360"/>
      </w:pPr>
      <w:rPr>
        <w:rFonts w:ascii="Symbol" w:hAnsi="Symbol"/>
      </w:rPr>
    </w:lvl>
    <w:lvl w:ilvl="8" w:tplc="D2745A00">
      <w:start w:val="1"/>
      <w:numFmt w:val="bullet"/>
      <w:lvlText w:val=""/>
      <w:lvlJc w:val="left"/>
      <w:pPr>
        <w:ind w:left="720" w:hanging="360"/>
      </w:pPr>
      <w:rPr>
        <w:rFonts w:ascii="Symbol" w:hAnsi="Symbol"/>
      </w:rPr>
    </w:lvl>
  </w:abstractNum>
  <w:abstractNum w:abstractNumId="2" w15:restartNumberingAfterBreak="0">
    <w:nsid w:val="17FB291A"/>
    <w:multiLevelType w:val="hybridMultilevel"/>
    <w:tmpl w:val="2C620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D1C4C"/>
    <w:multiLevelType w:val="hybridMultilevel"/>
    <w:tmpl w:val="A3E6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1A22A0"/>
    <w:multiLevelType w:val="hybridMultilevel"/>
    <w:tmpl w:val="3A6A4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601C94"/>
    <w:multiLevelType w:val="hybridMultilevel"/>
    <w:tmpl w:val="03FE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D106DE"/>
    <w:multiLevelType w:val="hybridMultilevel"/>
    <w:tmpl w:val="B492F62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8FF662D"/>
    <w:multiLevelType w:val="hybridMultilevel"/>
    <w:tmpl w:val="56D2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B4E51"/>
    <w:multiLevelType w:val="hybridMultilevel"/>
    <w:tmpl w:val="91EC9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412125"/>
    <w:multiLevelType w:val="hybridMultilevel"/>
    <w:tmpl w:val="9FD8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1E2106"/>
    <w:multiLevelType w:val="hybridMultilevel"/>
    <w:tmpl w:val="361ADD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9C5284"/>
    <w:multiLevelType w:val="hybridMultilevel"/>
    <w:tmpl w:val="9F1E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2E1E06"/>
    <w:multiLevelType w:val="hybridMultilevel"/>
    <w:tmpl w:val="1CD6A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A13163"/>
    <w:multiLevelType w:val="hybridMultilevel"/>
    <w:tmpl w:val="BF162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942E12"/>
    <w:multiLevelType w:val="hybridMultilevel"/>
    <w:tmpl w:val="31F4E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3F0DBA"/>
    <w:multiLevelType w:val="hybridMultilevel"/>
    <w:tmpl w:val="3DF67C5E"/>
    <w:lvl w:ilvl="0" w:tplc="49E899D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A66813"/>
    <w:multiLevelType w:val="hybridMultilevel"/>
    <w:tmpl w:val="E8105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4E0D91"/>
    <w:multiLevelType w:val="hybridMultilevel"/>
    <w:tmpl w:val="6A5A6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6B6BF2"/>
    <w:multiLevelType w:val="hybridMultilevel"/>
    <w:tmpl w:val="F62EC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03263A"/>
    <w:multiLevelType w:val="hybridMultilevel"/>
    <w:tmpl w:val="932C71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805A9F"/>
    <w:multiLevelType w:val="hybridMultilevel"/>
    <w:tmpl w:val="8A90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EE0DB1"/>
    <w:multiLevelType w:val="hybridMultilevel"/>
    <w:tmpl w:val="FE46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FD5850"/>
    <w:multiLevelType w:val="hybridMultilevel"/>
    <w:tmpl w:val="1E46BF04"/>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2948896">
    <w:abstractNumId w:val="17"/>
  </w:num>
  <w:num w:numId="2" w16cid:durableId="1008487205">
    <w:abstractNumId w:val="3"/>
  </w:num>
  <w:num w:numId="3" w16cid:durableId="357590161">
    <w:abstractNumId w:val="16"/>
  </w:num>
  <w:num w:numId="4" w16cid:durableId="1406878562">
    <w:abstractNumId w:val="11"/>
  </w:num>
  <w:num w:numId="5" w16cid:durableId="1552307307">
    <w:abstractNumId w:val="8"/>
  </w:num>
  <w:num w:numId="6" w16cid:durableId="1713773281">
    <w:abstractNumId w:val="14"/>
  </w:num>
  <w:num w:numId="7" w16cid:durableId="1140463999">
    <w:abstractNumId w:val="12"/>
  </w:num>
  <w:num w:numId="8" w16cid:durableId="813106143">
    <w:abstractNumId w:val="10"/>
  </w:num>
  <w:num w:numId="9" w16cid:durableId="715204697">
    <w:abstractNumId w:val="15"/>
  </w:num>
  <w:num w:numId="10" w16cid:durableId="338626201">
    <w:abstractNumId w:val="6"/>
  </w:num>
  <w:num w:numId="11" w16cid:durableId="261492241">
    <w:abstractNumId w:val="19"/>
  </w:num>
  <w:num w:numId="12" w16cid:durableId="1221862901">
    <w:abstractNumId w:val="0"/>
  </w:num>
  <w:num w:numId="13" w16cid:durableId="69816314">
    <w:abstractNumId w:val="1"/>
  </w:num>
  <w:num w:numId="14" w16cid:durableId="1683973369">
    <w:abstractNumId w:val="20"/>
  </w:num>
  <w:num w:numId="15" w16cid:durableId="768551341">
    <w:abstractNumId w:val="4"/>
  </w:num>
  <w:num w:numId="16" w16cid:durableId="916133247">
    <w:abstractNumId w:val="13"/>
  </w:num>
  <w:num w:numId="17" w16cid:durableId="1950698979">
    <w:abstractNumId w:val="9"/>
  </w:num>
  <w:num w:numId="18" w16cid:durableId="1830362464">
    <w:abstractNumId w:val="5"/>
  </w:num>
  <w:num w:numId="19" w16cid:durableId="1702508337">
    <w:abstractNumId w:val="2"/>
  </w:num>
  <w:num w:numId="20" w16cid:durableId="986906799">
    <w:abstractNumId w:val="18"/>
  </w:num>
  <w:num w:numId="21" w16cid:durableId="1370758418">
    <w:abstractNumId w:val="21"/>
  </w:num>
  <w:num w:numId="22" w16cid:durableId="1338343149">
    <w:abstractNumId w:val="22"/>
  </w:num>
  <w:num w:numId="23" w16cid:durableId="13021557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11C65"/>
    <w:rsid w:val="00015F92"/>
    <w:rsid w:val="00024F97"/>
    <w:rsid w:val="00027999"/>
    <w:rsid w:val="00034451"/>
    <w:rsid w:val="00043080"/>
    <w:rsid w:val="00043EE5"/>
    <w:rsid w:val="00064BD3"/>
    <w:rsid w:val="00070566"/>
    <w:rsid w:val="00074F27"/>
    <w:rsid w:val="00075959"/>
    <w:rsid w:val="000837B0"/>
    <w:rsid w:val="000916D6"/>
    <w:rsid w:val="00093EAE"/>
    <w:rsid w:val="000A07BC"/>
    <w:rsid w:val="000B3795"/>
    <w:rsid w:val="000C380D"/>
    <w:rsid w:val="000E0215"/>
    <w:rsid w:val="000E60D7"/>
    <w:rsid w:val="000E6E25"/>
    <w:rsid w:val="000F33A3"/>
    <w:rsid w:val="000F6180"/>
    <w:rsid w:val="000F74D4"/>
    <w:rsid w:val="000F7AC7"/>
    <w:rsid w:val="0010104E"/>
    <w:rsid w:val="00101FB9"/>
    <w:rsid w:val="00103841"/>
    <w:rsid w:val="0010391E"/>
    <w:rsid w:val="00103C07"/>
    <w:rsid w:val="00104797"/>
    <w:rsid w:val="00107CF7"/>
    <w:rsid w:val="00111F0B"/>
    <w:rsid w:val="001263B4"/>
    <w:rsid w:val="001269D6"/>
    <w:rsid w:val="00132CBC"/>
    <w:rsid w:val="00133080"/>
    <w:rsid w:val="00135A54"/>
    <w:rsid w:val="0014264A"/>
    <w:rsid w:val="0014327D"/>
    <w:rsid w:val="00144986"/>
    <w:rsid w:val="00151433"/>
    <w:rsid w:val="00177020"/>
    <w:rsid w:val="00177D7C"/>
    <w:rsid w:val="00184133"/>
    <w:rsid w:val="00187620"/>
    <w:rsid w:val="00192AE4"/>
    <w:rsid w:val="00194824"/>
    <w:rsid w:val="00195BFE"/>
    <w:rsid w:val="0019666A"/>
    <w:rsid w:val="001A03A4"/>
    <w:rsid w:val="001A3B4D"/>
    <w:rsid w:val="001A441F"/>
    <w:rsid w:val="001A70C0"/>
    <w:rsid w:val="001A738E"/>
    <w:rsid w:val="001B2A57"/>
    <w:rsid w:val="001B597A"/>
    <w:rsid w:val="001B634E"/>
    <w:rsid w:val="001B6987"/>
    <w:rsid w:val="001C613A"/>
    <w:rsid w:val="001C6231"/>
    <w:rsid w:val="001D4F3A"/>
    <w:rsid w:val="001D6B5E"/>
    <w:rsid w:val="001D7C80"/>
    <w:rsid w:val="001E1477"/>
    <w:rsid w:val="001F54B8"/>
    <w:rsid w:val="001F54D9"/>
    <w:rsid w:val="002008F8"/>
    <w:rsid w:val="00212968"/>
    <w:rsid w:val="00214162"/>
    <w:rsid w:val="00216E56"/>
    <w:rsid w:val="00222043"/>
    <w:rsid w:val="002227D3"/>
    <w:rsid w:val="002277EE"/>
    <w:rsid w:val="00233082"/>
    <w:rsid w:val="00235676"/>
    <w:rsid w:val="0025038D"/>
    <w:rsid w:val="002514C3"/>
    <w:rsid w:val="00254C8A"/>
    <w:rsid w:val="00267D31"/>
    <w:rsid w:val="00271A5C"/>
    <w:rsid w:val="002737DA"/>
    <w:rsid w:val="0028083A"/>
    <w:rsid w:val="00292E3D"/>
    <w:rsid w:val="002B015E"/>
    <w:rsid w:val="002B52AE"/>
    <w:rsid w:val="002C1402"/>
    <w:rsid w:val="002C3A12"/>
    <w:rsid w:val="002C7FD2"/>
    <w:rsid w:val="002D0EF7"/>
    <w:rsid w:val="002D6889"/>
    <w:rsid w:val="002E49BA"/>
    <w:rsid w:val="00312470"/>
    <w:rsid w:val="00314705"/>
    <w:rsid w:val="00315BD2"/>
    <w:rsid w:val="00317F85"/>
    <w:rsid w:val="003218AE"/>
    <w:rsid w:val="00323EF1"/>
    <w:rsid w:val="00334EDD"/>
    <w:rsid w:val="003354C1"/>
    <w:rsid w:val="00335B24"/>
    <w:rsid w:val="00341627"/>
    <w:rsid w:val="00341E2F"/>
    <w:rsid w:val="003431BA"/>
    <w:rsid w:val="00344DE1"/>
    <w:rsid w:val="00345160"/>
    <w:rsid w:val="0034679F"/>
    <w:rsid w:val="00346F82"/>
    <w:rsid w:val="00351E41"/>
    <w:rsid w:val="00355C29"/>
    <w:rsid w:val="0036112F"/>
    <w:rsid w:val="00366C2F"/>
    <w:rsid w:val="00371892"/>
    <w:rsid w:val="0037367E"/>
    <w:rsid w:val="00376DC2"/>
    <w:rsid w:val="0038048C"/>
    <w:rsid w:val="003906AE"/>
    <w:rsid w:val="003C459D"/>
    <w:rsid w:val="003D33F6"/>
    <w:rsid w:val="003E235F"/>
    <w:rsid w:val="003E2C14"/>
    <w:rsid w:val="003E6826"/>
    <w:rsid w:val="003F0A69"/>
    <w:rsid w:val="003F3051"/>
    <w:rsid w:val="003F3252"/>
    <w:rsid w:val="0040032E"/>
    <w:rsid w:val="00401083"/>
    <w:rsid w:val="00410876"/>
    <w:rsid w:val="004139F2"/>
    <w:rsid w:val="00413D35"/>
    <w:rsid w:val="004251C2"/>
    <w:rsid w:val="0042708F"/>
    <w:rsid w:val="004303E9"/>
    <w:rsid w:val="00436089"/>
    <w:rsid w:val="004429AF"/>
    <w:rsid w:val="00450806"/>
    <w:rsid w:val="00453BA2"/>
    <w:rsid w:val="00463294"/>
    <w:rsid w:val="00471DEC"/>
    <w:rsid w:val="00472C2D"/>
    <w:rsid w:val="00477C30"/>
    <w:rsid w:val="00484E43"/>
    <w:rsid w:val="0048506F"/>
    <w:rsid w:val="00486C31"/>
    <w:rsid w:val="00492D26"/>
    <w:rsid w:val="004A261C"/>
    <w:rsid w:val="004A78D8"/>
    <w:rsid w:val="004B2512"/>
    <w:rsid w:val="004B341D"/>
    <w:rsid w:val="004B3B37"/>
    <w:rsid w:val="004C455E"/>
    <w:rsid w:val="004C4EEF"/>
    <w:rsid w:val="004C6249"/>
    <w:rsid w:val="004E5604"/>
    <w:rsid w:val="004E704E"/>
    <w:rsid w:val="004F2923"/>
    <w:rsid w:val="004F2A2D"/>
    <w:rsid w:val="004F40CE"/>
    <w:rsid w:val="004F47A4"/>
    <w:rsid w:val="005004AF"/>
    <w:rsid w:val="005008F3"/>
    <w:rsid w:val="00511668"/>
    <w:rsid w:val="00512D56"/>
    <w:rsid w:val="00514239"/>
    <w:rsid w:val="005226E7"/>
    <w:rsid w:val="0052410D"/>
    <w:rsid w:val="005244B3"/>
    <w:rsid w:val="00532830"/>
    <w:rsid w:val="00536AA1"/>
    <w:rsid w:val="0054422B"/>
    <w:rsid w:val="00545551"/>
    <w:rsid w:val="00557F44"/>
    <w:rsid w:val="005600EE"/>
    <w:rsid w:val="005616F5"/>
    <w:rsid w:val="00566E35"/>
    <w:rsid w:val="00575523"/>
    <w:rsid w:val="00590962"/>
    <w:rsid w:val="00597E24"/>
    <w:rsid w:val="005A48EE"/>
    <w:rsid w:val="005A4D68"/>
    <w:rsid w:val="005A744A"/>
    <w:rsid w:val="005B0724"/>
    <w:rsid w:val="005B2AA5"/>
    <w:rsid w:val="005C7973"/>
    <w:rsid w:val="005C7ECA"/>
    <w:rsid w:val="005D727B"/>
    <w:rsid w:val="005E2A6B"/>
    <w:rsid w:val="005E45EC"/>
    <w:rsid w:val="005E6AE8"/>
    <w:rsid w:val="005E7828"/>
    <w:rsid w:val="005F1F7D"/>
    <w:rsid w:val="00604BB0"/>
    <w:rsid w:val="006065AA"/>
    <w:rsid w:val="006118A5"/>
    <w:rsid w:val="00611E0A"/>
    <w:rsid w:val="0061221F"/>
    <w:rsid w:val="0061396E"/>
    <w:rsid w:val="00613CCA"/>
    <w:rsid w:val="006142D7"/>
    <w:rsid w:val="00625536"/>
    <w:rsid w:val="006264C4"/>
    <w:rsid w:val="006443E2"/>
    <w:rsid w:val="00646D85"/>
    <w:rsid w:val="006503BC"/>
    <w:rsid w:val="00652EC2"/>
    <w:rsid w:val="00656A58"/>
    <w:rsid w:val="006615BF"/>
    <w:rsid w:val="00663002"/>
    <w:rsid w:val="00663C7F"/>
    <w:rsid w:val="006665C1"/>
    <w:rsid w:val="00671357"/>
    <w:rsid w:val="0068383B"/>
    <w:rsid w:val="00683AD2"/>
    <w:rsid w:val="0068698D"/>
    <w:rsid w:val="006A18B1"/>
    <w:rsid w:val="006A753A"/>
    <w:rsid w:val="006B0996"/>
    <w:rsid w:val="006C04E3"/>
    <w:rsid w:val="006C1240"/>
    <w:rsid w:val="006C3288"/>
    <w:rsid w:val="006C3CA3"/>
    <w:rsid w:val="006C6C42"/>
    <w:rsid w:val="006C78F0"/>
    <w:rsid w:val="006D2103"/>
    <w:rsid w:val="006D6D0D"/>
    <w:rsid w:val="006E0916"/>
    <w:rsid w:val="006E658F"/>
    <w:rsid w:val="006E6FD4"/>
    <w:rsid w:val="007052CF"/>
    <w:rsid w:val="007071B9"/>
    <w:rsid w:val="007171FB"/>
    <w:rsid w:val="007200CE"/>
    <w:rsid w:val="0072766E"/>
    <w:rsid w:val="007501BC"/>
    <w:rsid w:val="00752F86"/>
    <w:rsid w:val="007653DF"/>
    <w:rsid w:val="00766CFB"/>
    <w:rsid w:val="0077190B"/>
    <w:rsid w:val="00776DA0"/>
    <w:rsid w:val="00782D6A"/>
    <w:rsid w:val="00791FAC"/>
    <w:rsid w:val="007A4E37"/>
    <w:rsid w:val="007C022E"/>
    <w:rsid w:val="007D4654"/>
    <w:rsid w:val="007E4909"/>
    <w:rsid w:val="007E65D8"/>
    <w:rsid w:val="007E6CF5"/>
    <w:rsid w:val="007F2CB8"/>
    <w:rsid w:val="007F78C6"/>
    <w:rsid w:val="00803F1F"/>
    <w:rsid w:val="00805DEA"/>
    <w:rsid w:val="0081178E"/>
    <w:rsid w:val="0081365E"/>
    <w:rsid w:val="00821663"/>
    <w:rsid w:val="00824FD7"/>
    <w:rsid w:val="008253DD"/>
    <w:rsid w:val="008302D8"/>
    <w:rsid w:val="00831F5F"/>
    <w:rsid w:val="00832F64"/>
    <w:rsid w:val="008369C2"/>
    <w:rsid w:val="0084567D"/>
    <w:rsid w:val="008508D3"/>
    <w:rsid w:val="008521C2"/>
    <w:rsid w:val="00856A48"/>
    <w:rsid w:val="00861C74"/>
    <w:rsid w:val="00865E04"/>
    <w:rsid w:val="00871E52"/>
    <w:rsid w:val="0088268E"/>
    <w:rsid w:val="0088309E"/>
    <w:rsid w:val="00886689"/>
    <w:rsid w:val="00894F53"/>
    <w:rsid w:val="008A2EE5"/>
    <w:rsid w:val="008A4834"/>
    <w:rsid w:val="008B0AFB"/>
    <w:rsid w:val="008B0C2E"/>
    <w:rsid w:val="008B0CD2"/>
    <w:rsid w:val="008B1E57"/>
    <w:rsid w:val="008B2FE2"/>
    <w:rsid w:val="008B6B75"/>
    <w:rsid w:val="008C0D94"/>
    <w:rsid w:val="008C223F"/>
    <w:rsid w:val="008D2621"/>
    <w:rsid w:val="008D667E"/>
    <w:rsid w:val="008E6B8C"/>
    <w:rsid w:val="008F08D4"/>
    <w:rsid w:val="008F1A3E"/>
    <w:rsid w:val="008F2E47"/>
    <w:rsid w:val="0090474D"/>
    <w:rsid w:val="00906015"/>
    <w:rsid w:val="0091039C"/>
    <w:rsid w:val="00920C69"/>
    <w:rsid w:val="00933394"/>
    <w:rsid w:val="0093548E"/>
    <w:rsid w:val="00937DF6"/>
    <w:rsid w:val="009400BD"/>
    <w:rsid w:val="00950E33"/>
    <w:rsid w:val="00956590"/>
    <w:rsid w:val="009648C3"/>
    <w:rsid w:val="00964AF4"/>
    <w:rsid w:val="00966272"/>
    <w:rsid w:val="00966B3E"/>
    <w:rsid w:val="00984192"/>
    <w:rsid w:val="0098626C"/>
    <w:rsid w:val="00992DA7"/>
    <w:rsid w:val="0099555E"/>
    <w:rsid w:val="00995607"/>
    <w:rsid w:val="009A7940"/>
    <w:rsid w:val="009A79E2"/>
    <w:rsid w:val="009B585D"/>
    <w:rsid w:val="009C7F02"/>
    <w:rsid w:val="009D32F5"/>
    <w:rsid w:val="009D4078"/>
    <w:rsid w:val="009D652D"/>
    <w:rsid w:val="009E2641"/>
    <w:rsid w:val="009F1808"/>
    <w:rsid w:val="009F1929"/>
    <w:rsid w:val="009F2413"/>
    <w:rsid w:val="009F3C7D"/>
    <w:rsid w:val="009F4CBD"/>
    <w:rsid w:val="00A030ED"/>
    <w:rsid w:val="00A10CAD"/>
    <w:rsid w:val="00A11692"/>
    <w:rsid w:val="00A13FC6"/>
    <w:rsid w:val="00A202DC"/>
    <w:rsid w:val="00A41F17"/>
    <w:rsid w:val="00A45579"/>
    <w:rsid w:val="00A50507"/>
    <w:rsid w:val="00A51D6B"/>
    <w:rsid w:val="00A622DB"/>
    <w:rsid w:val="00A63429"/>
    <w:rsid w:val="00A65C8D"/>
    <w:rsid w:val="00A76867"/>
    <w:rsid w:val="00A77A6B"/>
    <w:rsid w:val="00A820F2"/>
    <w:rsid w:val="00A824FC"/>
    <w:rsid w:val="00A84B61"/>
    <w:rsid w:val="00A917F4"/>
    <w:rsid w:val="00A9515C"/>
    <w:rsid w:val="00A97588"/>
    <w:rsid w:val="00AA400D"/>
    <w:rsid w:val="00AB22D8"/>
    <w:rsid w:val="00AC72FD"/>
    <w:rsid w:val="00AD1775"/>
    <w:rsid w:val="00AD3004"/>
    <w:rsid w:val="00AD7276"/>
    <w:rsid w:val="00AE16AD"/>
    <w:rsid w:val="00AE2503"/>
    <w:rsid w:val="00AF0194"/>
    <w:rsid w:val="00B02348"/>
    <w:rsid w:val="00B07B65"/>
    <w:rsid w:val="00B11EDB"/>
    <w:rsid w:val="00B16D89"/>
    <w:rsid w:val="00B22AA5"/>
    <w:rsid w:val="00B26969"/>
    <w:rsid w:val="00B37F95"/>
    <w:rsid w:val="00B43294"/>
    <w:rsid w:val="00B441F0"/>
    <w:rsid w:val="00B44DC5"/>
    <w:rsid w:val="00B516CC"/>
    <w:rsid w:val="00B606AF"/>
    <w:rsid w:val="00B60722"/>
    <w:rsid w:val="00B60A81"/>
    <w:rsid w:val="00B73BDE"/>
    <w:rsid w:val="00B90329"/>
    <w:rsid w:val="00B91629"/>
    <w:rsid w:val="00B954E1"/>
    <w:rsid w:val="00B97FE0"/>
    <w:rsid w:val="00BB2C27"/>
    <w:rsid w:val="00BC3EE5"/>
    <w:rsid w:val="00BC5AF5"/>
    <w:rsid w:val="00BC64BA"/>
    <w:rsid w:val="00BD2C6C"/>
    <w:rsid w:val="00BD4D87"/>
    <w:rsid w:val="00BD5892"/>
    <w:rsid w:val="00BE2541"/>
    <w:rsid w:val="00BF149A"/>
    <w:rsid w:val="00BF37CC"/>
    <w:rsid w:val="00BF39A8"/>
    <w:rsid w:val="00BF6C15"/>
    <w:rsid w:val="00C0148D"/>
    <w:rsid w:val="00C13B5C"/>
    <w:rsid w:val="00C2185C"/>
    <w:rsid w:val="00C22A12"/>
    <w:rsid w:val="00C23934"/>
    <w:rsid w:val="00C23C86"/>
    <w:rsid w:val="00C51BFD"/>
    <w:rsid w:val="00C51C00"/>
    <w:rsid w:val="00C52323"/>
    <w:rsid w:val="00C53600"/>
    <w:rsid w:val="00C54661"/>
    <w:rsid w:val="00C5663F"/>
    <w:rsid w:val="00C60085"/>
    <w:rsid w:val="00C66EEE"/>
    <w:rsid w:val="00C70905"/>
    <w:rsid w:val="00C851AF"/>
    <w:rsid w:val="00C863AC"/>
    <w:rsid w:val="00C87E48"/>
    <w:rsid w:val="00C95AED"/>
    <w:rsid w:val="00CA23E4"/>
    <w:rsid w:val="00CA2A2C"/>
    <w:rsid w:val="00CA6050"/>
    <w:rsid w:val="00CA7EEA"/>
    <w:rsid w:val="00CB506C"/>
    <w:rsid w:val="00CB50F0"/>
    <w:rsid w:val="00CC279E"/>
    <w:rsid w:val="00CC2AC9"/>
    <w:rsid w:val="00CC7481"/>
    <w:rsid w:val="00CD25AB"/>
    <w:rsid w:val="00CD405D"/>
    <w:rsid w:val="00CD4544"/>
    <w:rsid w:val="00CD4D85"/>
    <w:rsid w:val="00CF21C6"/>
    <w:rsid w:val="00CF5E45"/>
    <w:rsid w:val="00CF64E7"/>
    <w:rsid w:val="00CF6A01"/>
    <w:rsid w:val="00D10E69"/>
    <w:rsid w:val="00D13B51"/>
    <w:rsid w:val="00D305F3"/>
    <w:rsid w:val="00D32271"/>
    <w:rsid w:val="00D40C54"/>
    <w:rsid w:val="00D532A2"/>
    <w:rsid w:val="00D568C4"/>
    <w:rsid w:val="00D733FB"/>
    <w:rsid w:val="00D743DB"/>
    <w:rsid w:val="00D7561F"/>
    <w:rsid w:val="00DA1EBB"/>
    <w:rsid w:val="00DA4308"/>
    <w:rsid w:val="00DA527C"/>
    <w:rsid w:val="00DB0605"/>
    <w:rsid w:val="00DB3E5F"/>
    <w:rsid w:val="00DC181F"/>
    <w:rsid w:val="00DC72BC"/>
    <w:rsid w:val="00DD249C"/>
    <w:rsid w:val="00DD643F"/>
    <w:rsid w:val="00DF0CAD"/>
    <w:rsid w:val="00DF6194"/>
    <w:rsid w:val="00DF6A80"/>
    <w:rsid w:val="00DF6FD4"/>
    <w:rsid w:val="00E020F2"/>
    <w:rsid w:val="00E14510"/>
    <w:rsid w:val="00E26AEA"/>
    <w:rsid w:val="00E27CF9"/>
    <w:rsid w:val="00E32246"/>
    <w:rsid w:val="00E328CF"/>
    <w:rsid w:val="00E3695A"/>
    <w:rsid w:val="00E37D39"/>
    <w:rsid w:val="00E5241C"/>
    <w:rsid w:val="00E60591"/>
    <w:rsid w:val="00E609F7"/>
    <w:rsid w:val="00E62C24"/>
    <w:rsid w:val="00E63062"/>
    <w:rsid w:val="00E6698E"/>
    <w:rsid w:val="00E739F9"/>
    <w:rsid w:val="00E81E22"/>
    <w:rsid w:val="00E9329C"/>
    <w:rsid w:val="00E94AA0"/>
    <w:rsid w:val="00EA1050"/>
    <w:rsid w:val="00EA29F1"/>
    <w:rsid w:val="00EA34C7"/>
    <w:rsid w:val="00EA3D9F"/>
    <w:rsid w:val="00EA3FAA"/>
    <w:rsid w:val="00EB29B9"/>
    <w:rsid w:val="00EB5FB5"/>
    <w:rsid w:val="00EC3B3C"/>
    <w:rsid w:val="00EC522E"/>
    <w:rsid w:val="00EC5CA5"/>
    <w:rsid w:val="00ED2809"/>
    <w:rsid w:val="00ED46E1"/>
    <w:rsid w:val="00EE59A4"/>
    <w:rsid w:val="00EE7606"/>
    <w:rsid w:val="00EF21D5"/>
    <w:rsid w:val="00F01EDA"/>
    <w:rsid w:val="00F05D49"/>
    <w:rsid w:val="00F0795E"/>
    <w:rsid w:val="00F35DFB"/>
    <w:rsid w:val="00F408D5"/>
    <w:rsid w:val="00F44625"/>
    <w:rsid w:val="00F46F89"/>
    <w:rsid w:val="00F50B52"/>
    <w:rsid w:val="00F52258"/>
    <w:rsid w:val="00F5593D"/>
    <w:rsid w:val="00F56802"/>
    <w:rsid w:val="00F61003"/>
    <w:rsid w:val="00F6705A"/>
    <w:rsid w:val="00F70D1F"/>
    <w:rsid w:val="00F7149A"/>
    <w:rsid w:val="00F808E1"/>
    <w:rsid w:val="00F81E14"/>
    <w:rsid w:val="00F84D19"/>
    <w:rsid w:val="00F95337"/>
    <w:rsid w:val="00FA518F"/>
    <w:rsid w:val="00FA5FA0"/>
    <w:rsid w:val="00FA7816"/>
    <w:rsid w:val="00FB0FE2"/>
    <w:rsid w:val="00FB3831"/>
    <w:rsid w:val="00FB454B"/>
    <w:rsid w:val="00FB67F7"/>
    <w:rsid w:val="00FC511F"/>
    <w:rsid w:val="00FC54F1"/>
    <w:rsid w:val="00FD367B"/>
    <w:rsid w:val="00FD733E"/>
    <w:rsid w:val="00FD7AFC"/>
    <w:rsid w:val="00FE33CE"/>
    <w:rsid w:val="00FE4E56"/>
    <w:rsid w:val="00FE5687"/>
    <w:rsid w:val="00FE6940"/>
    <w:rsid w:val="00FE6A0E"/>
    <w:rsid w:val="00FE74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character" w:styleId="Hyperlink">
    <w:name w:val="Hyperlink"/>
    <w:basedOn w:val="DefaultParagraphFont"/>
    <w:uiPriority w:val="99"/>
    <w:unhideWhenUsed/>
    <w:rsid w:val="005B2AA5"/>
    <w:rPr>
      <w:color w:val="0563C1" w:themeColor="hyperlink"/>
      <w:u w:val="single"/>
    </w:rPr>
  </w:style>
  <w:style w:type="paragraph" w:styleId="ListParagraph">
    <w:name w:val="List Paragraph"/>
    <w:basedOn w:val="Normal"/>
    <w:uiPriority w:val="34"/>
    <w:qFormat/>
    <w:rsid w:val="005B2AA5"/>
    <w:pPr>
      <w:ind w:left="720"/>
      <w:contextualSpacing/>
    </w:pPr>
  </w:style>
  <w:style w:type="character" w:styleId="UnresolvedMention">
    <w:name w:val="Unresolved Mention"/>
    <w:basedOn w:val="DefaultParagraphFont"/>
    <w:uiPriority w:val="99"/>
    <w:semiHidden/>
    <w:unhideWhenUsed/>
    <w:rsid w:val="00492D26"/>
    <w:rPr>
      <w:color w:val="605E5C"/>
      <w:shd w:val="clear" w:color="auto" w:fill="E1DFDD"/>
    </w:rPr>
  </w:style>
  <w:style w:type="character" w:styleId="CommentReference">
    <w:name w:val="annotation reference"/>
    <w:basedOn w:val="DefaultParagraphFont"/>
    <w:uiPriority w:val="99"/>
    <w:semiHidden/>
    <w:unhideWhenUsed/>
    <w:rsid w:val="00401083"/>
    <w:rPr>
      <w:sz w:val="16"/>
      <w:szCs w:val="16"/>
    </w:rPr>
  </w:style>
  <w:style w:type="paragraph" w:styleId="CommentText">
    <w:name w:val="annotation text"/>
    <w:basedOn w:val="Normal"/>
    <w:link w:val="CommentTextChar"/>
    <w:uiPriority w:val="99"/>
    <w:unhideWhenUsed/>
    <w:rsid w:val="00401083"/>
    <w:pPr>
      <w:spacing w:after="20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401083"/>
    <w:rPr>
      <w:rFonts w:asciiTheme="minorHAnsi" w:eastAsiaTheme="minorHAnsi" w:hAnsiTheme="minorHAnsi"/>
      <w:sz w:val="20"/>
      <w:szCs w:val="20"/>
    </w:rPr>
  </w:style>
  <w:style w:type="table" w:styleId="TableGrid">
    <w:name w:val="Table Grid"/>
    <w:basedOn w:val="TableNormal"/>
    <w:uiPriority w:val="39"/>
    <w:rsid w:val="00401083"/>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401083"/>
    <w:rPr>
      <w:i/>
      <w:iCs/>
      <w:color w:val="41B6E6" w:themeColor="accent1"/>
    </w:rPr>
  </w:style>
  <w:style w:type="paragraph" w:styleId="CommentSubject">
    <w:name w:val="annotation subject"/>
    <w:basedOn w:val="CommentText"/>
    <w:next w:val="CommentText"/>
    <w:link w:val="CommentSubjectChar"/>
    <w:uiPriority w:val="99"/>
    <w:semiHidden/>
    <w:unhideWhenUsed/>
    <w:rsid w:val="00401083"/>
    <w:pPr>
      <w:spacing w:after="0"/>
    </w:pPr>
    <w:rPr>
      <w:rFonts w:ascii="Arial" w:eastAsiaTheme="minorEastAsia" w:hAnsi="Arial"/>
      <w:b/>
      <w:bCs/>
    </w:rPr>
  </w:style>
  <w:style w:type="character" w:customStyle="1" w:styleId="CommentSubjectChar">
    <w:name w:val="Comment Subject Char"/>
    <w:basedOn w:val="CommentTextChar"/>
    <w:link w:val="CommentSubject"/>
    <w:uiPriority w:val="99"/>
    <w:semiHidden/>
    <w:rsid w:val="00401083"/>
    <w:rPr>
      <w:rFonts w:asciiTheme="minorHAnsi" w:eastAsiaTheme="minorHAnsi" w:hAnsiTheme="minorHAnsi"/>
      <w:b/>
      <w:bCs/>
      <w:sz w:val="20"/>
      <w:szCs w:val="20"/>
    </w:rPr>
  </w:style>
  <w:style w:type="paragraph" w:styleId="Revision">
    <w:name w:val="Revision"/>
    <w:hidden/>
    <w:uiPriority w:val="99"/>
    <w:semiHidden/>
    <w:rsid w:val="00950E33"/>
  </w:style>
  <w:style w:type="paragraph" w:styleId="FootnoteText">
    <w:name w:val="footnote text"/>
    <w:basedOn w:val="Normal"/>
    <w:link w:val="FootnoteTextChar"/>
    <w:uiPriority w:val="99"/>
    <w:semiHidden/>
    <w:unhideWhenUsed/>
    <w:rsid w:val="00C23934"/>
    <w:rPr>
      <w:sz w:val="20"/>
      <w:szCs w:val="20"/>
    </w:rPr>
  </w:style>
  <w:style w:type="character" w:customStyle="1" w:styleId="FootnoteTextChar">
    <w:name w:val="Footnote Text Char"/>
    <w:basedOn w:val="DefaultParagraphFont"/>
    <w:link w:val="FootnoteText"/>
    <w:uiPriority w:val="99"/>
    <w:semiHidden/>
    <w:rsid w:val="00C23934"/>
    <w:rPr>
      <w:sz w:val="20"/>
      <w:szCs w:val="20"/>
    </w:rPr>
  </w:style>
  <w:style w:type="character" w:styleId="FootnoteReference">
    <w:name w:val="footnote reference"/>
    <w:basedOn w:val="DefaultParagraphFont"/>
    <w:uiPriority w:val="99"/>
    <w:semiHidden/>
    <w:unhideWhenUsed/>
    <w:rsid w:val="00C23934"/>
    <w:rPr>
      <w:vertAlign w:val="superscript"/>
    </w:rPr>
  </w:style>
  <w:style w:type="character" w:customStyle="1" w:styleId="ui-provider">
    <w:name w:val="ui-provider"/>
    <w:basedOn w:val="DefaultParagraphFont"/>
    <w:rsid w:val="005B0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68691">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19121561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onlinesurveys.jisc.ac.uk/s/healtheducationyh/nhse-se-cancer-diagnostic-funding-application-round-2-duplica-1" TargetMode="External"/><Relationship Id="rId18" Type="http://schemas.openxmlformats.org/officeDocument/2006/relationships/hyperlink" Target="mailto:england.canceranddiagnostics.se@nhs.net"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hyperlink" Target="https://www.england.nhs.uk/wp-content/uploads/2023/06/nhs-long-term-workforce-plan-v1.2.pdf" TargetMode="External"/><Relationship Id="rId2" Type="http://schemas.openxmlformats.org/officeDocument/2006/relationships/customXml" Target="../customXml/item2.xml"/><Relationship Id="rId16" Type="http://schemas.openxmlformats.org/officeDocument/2006/relationships/hyperlink" Target="https://haso.skillsforhealth.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and.canceranddiagnostics.se@nhs.ne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killsforhealth.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ituteforapprenticeships.org/"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25f3b1-0e88-46e5-8be6-2e66319fe22b" xsi:nil="true"/>
    <lcf76f155ced4ddcb4097134ff3c332f xmlns="7f306fc3-3c3d-4d13-97f5-42cd1ad5d06f">
      <Terms xmlns="http://schemas.microsoft.com/office/infopath/2007/PartnerControls"/>
    </lcf76f155ced4ddcb4097134ff3c332f>
    <SharedWithUsers xmlns="b825f3b1-0e88-46e5-8be6-2e66319fe22b">
      <UserInfo>
        <DisplayName>Delivery and Performance Team (South East) Visitors</DisplayName>
        <AccountId>4</AccountId>
        <AccountType/>
      </UserInfo>
      <UserInfo>
        <DisplayName>GREAVES, Shakira (NHS ENGLAND - T1510)</DisplayName>
        <AccountId>169</AccountId>
        <AccountType/>
      </UserInfo>
      <UserInfo>
        <DisplayName>SharingLinks.0260a03c-fd2b-43b3-84d9-63c6d06f0772.Flexible.9388db89-f1ee-4efe-8eeb-4b232bc1e89b</DisplayName>
        <AccountId>1437</AccountId>
        <AccountType/>
      </UserInfo>
    </SharedWithUsers>
    <test xmlns="7f306fc3-3c3d-4d13-97f5-42cd1ad5d06f" xsi:nil="true"/>
    <_ip_UnifiedCompliancePolicyUIAction xmlns="b825f3b1-0e88-46e5-8be6-2e66319fe22b" xsi:nil="true"/>
    <_Flow_SignoffStatus xmlns="7f306fc3-3c3d-4d13-97f5-42cd1ad5d06f" xsi:nil="true"/>
    <_ip_UnifiedCompliancePolicyProperties xmlns="b825f3b1-0e88-46e5-8be6-2e66319fe2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5E1998A367914AA40911E145DA85CF" ma:contentTypeVersion="27" ma:contentTypeDescription="Create a new document." ma:contentTypeScope="" ma:versionID="c170f6b481a6a961c44aa4034ff69e97">
  <xsd:schema xmlns:xsd="http://www.w3.org/2001/XMLSchema" xmlns:xs="http://www.w3.org/2001/XMLSchema" xmlns:p="http://schemas.microsoft.com/office/2006/metadata/properties" xmlns:ns2="7f306fc3-3c3d-4d13-97f5-42cd1ad5d06f" xmlns:ns3="b825f3b1-0e88-46e5-8be6-2e66319fe22b" targetNamespace="http://schemas.microsoft.com/office/2006/metadata/properties" ma:root="true" ma:fieldsID="a1c9c4d6150cd922be1f74379da34d4c" ns2:_="" ns3:_="">
    <xsd:import namespace="7f306fc3-3c3d-4d13-97f5-42cd1ad5d06f"/>
    <xsd:import namespace="b825f3b1-0e88-46e5-8be6-2e66319fe2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test" minOccurs="0"/>
                <xsd:element ref="ns3:_ip_UnifiedCompliancePolicyProperties" minOccurs="0"/>
                <xsd:element ref="ns3: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06fc3-3c3d-4d13-97f5-42cd1ad5d06f"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description="" ma:hidden="true" ma:internalName="MediaServiceDateTaken" ma:readOnly="true">
      <xsd:simpleType>
        <xsd:restriction base="dms:Text"/>
      </xsd:simpleType>
    </xsd:element>
    <xsd:element name="MediaLengthInSeconds" ma:index="7" nillable="true" ma:displayName="MediaLengthInSeconds" ma:description="" ma:internalName="MediaLengthInSeconds" ma:readOnly="true">
      <xsd:simpleType>
        <xsd:restriction base="dms:Unknow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_Flow_SignoffStatus" ma:index="12" nillable="true" ma:displayName="Sign-off status" ma:internalName="Sign_x002d_off_x0020_status" ma:readOnly="fals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test" ma:index="19" nillable="true" ma:displayName="test" ma:internalName="test" ma:readOnly="fals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5f3b1-0e88-46e5-8be6-2e66319fe22b"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334c738-f7ed-453d-8199-f913045d18c3}" ma:internalName="TaxCatchAll" ma:showField="CatchAllData" ma:web="b825f3b1-0e88-46e5-8be6-2e66319fe22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4" nillable="true" ma:displayName="Unified Compliance Policy Properties" ma:internalName="_ip_UnifiedCompliancePolicyProperties" ma:readOnly="false">
      <xsd:simpleType>
        <xsd:restriction base="dms:Note"/>
      </xsd:simpleType>
    </xsd:element>
    <xsd:element name="_ip_UnifiedCompliancePolicyUIAction" ma:index="25"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 ds:uri="b825f3b1-0e88-46e5-8be6-2e66319fe22b"/>
    <ds:schemaRef ds:uri="7f306fc3-3c3d-4d13-97f5-42cd1ad5d06f"/>
  </ds:schemaRefs>
</ds:datastoreItem>
</file>

<file path=customXml/itemProps2.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3.xml><?xml version="1.0" encoding="utf-8"?>
<ds:datastoreItem xmlns:ds="http://schemas.openxmlformats.org/officeDocument/2006/customXml" ds:itemID="{D1A1C479-66B3-41F1-96E4-29A97887B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06fc3-3c3d-4d13-97f5-42cd1ad5d06f"/>
    <ds:schemaRef ds:uri="b825f3b1-0e88-46e5-8be6-2e66319fe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12</TotalTime>
  <Pages>5</Pages>
  <Words>1527</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CANDY, Tessa (NHS ENGLAND - T1510)</cp:lastModifiedBy>
  <cp:revision>10</cp:revision>
  <cp:lastPrinted>2021-01-11T11:40:00Z</cp:lastPrinted>
  <dcterms:created xsi:type="dcterms:W3CDTF">2024-10-03T15:03:00Z</dcterms:created>
  <dcterms:modified xsi:type="dcterms:W3CDTF">2024-10-11T16:23:00Z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0x010100F85E1998A367914AA40911E145DA85CF</vt:lpwstr>
  </property>
  <property fmtid="{D5CDD505-2E9C-101B-9397-08002B2CF9AE}" pid="3" name="MediaServiceImageTags">
    <vt:lpwstr/>
  </property>
  <property fmtid="{D5CDD505-2E9C-101B-9397-08002B2CF9AE}" pid="4" name="_ExtendedDescription">
    <vt:lpwstr/>
  </property>
</Properties>
</file>