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6651524B" w:rsidR="00933394" w:rsidRDefault="00933394" w:rsidP="00214162">
      <w:pPr>
        <w:jc w:val="right"/>
      </w:pPr>
    </w:p>
    <w:p w14:paraId="66221740" w14:textId="2890775C" w:rsidR="00933394" w:rsidRDefault="00933394" w:rsidP="00214162">
      <w:pPr>
        <w:jc w:val="right"/>
      </w:pPr>
    </w:p>
    <w:p w14:paraId="44E2DC93" w14:textId="568B8301" w:rsidR="00933394" w:rsidRDefault="00933394" w:rsidP="001F54D9">
      <w:pPr>
        <w:jc w:val="right"/>
      </w:pPr>
    </w:p>
    <w:p w14:paraId="55CC7080" w14:textId="48867FB8" w:rsidR="00107CF7" w:rsidRPr="00C5663F" w:rsidRDefault="005B2AA5" w:rsidP="00317F85">
      <w:pPr>
        <w:pStyle w:val="Heading1"/>
        <w:rPr>
          <w:color w:val="005EB8"/>
          <w:sz w:val="36"/>
          <w:szCs w:val="36"/>
        </w:rPr>
      </w:pPr>
      <w:bookmarkStart w:id="0" w:name="Title"/>
      <w:r w:rsidRPr="00C5663F">
        <w:rPr>
          <w:color w:val="005EB8"/>
          <w:sz w:val="36"/>
          <w:szCs w:val="36"/>
        </w:rPr>
        <w:t xml:space="preserve">South East </w:t>
      </w:r>
      <w:r w:rsidR="00E25504">
        <w:rPr>
          <w:color w:val="005EB8"/>
          <w:sz w:val="36"/>
          <w:szCs w:val="36"/>
        </w:rPr>
        <w:t xml:space="preserve">Endoscopy </w:t>
      </w:r>
      <w:r w:rsidR="00317F85" w:rsidRPr="00536AA1">
        <w:rPr>
          <w:color w:val="005EB8"/>
          <w:sz w:val="36"/>
          <w:szCs w:val="36"/>
        </w:rPr>
        <w:fldChar w:fldCharType="begin"/>
      </w:r>
      <w:r w:rsidR="00317F85" w:rsidRPr="00536AA1">
        <w:rPr>
          <w:color w:val="005EB8"/>
          <w:sz w:val="36"/>
          <w:szCs w:val="36"/>
        </w:rPr>
        <w:instrText xml:space="preserve"> TITLE  \* FirstCap  \* MERGEFORMAT </w:instrText>
      </w:r>
      <w:r w:rsidR="00317F85" w:rsidRPr="00536AA1">
        <w:rPr>
          <w:color w:val="005EB8"/>
          <w:sz w:val="36"/>
          <w:szCs w:val="36"/>
        </w:rPr>
        <w:fldChar w:fldCharType="end"/>
      </w:r>
      <w:r w:rsidR="00E25504">
        <w:rPr>
          <w:color w:val="005EB8"/>
          <w:sz w:val="36"/>
          <w:szCs w:val="36"/>
        </w:rPr>
        <w:t>Practice Education</w:t>
      </w:r>
      <w:r w:rsidRPr="00C5663F">
        <w:rPr>
          <w:color w:val="005EB8"/>
          <w:sz w:val="36"/>
          <w:szCs w:val="36"/>
        </w:rPr>
        <w:t xml:space="preserve"> Funding </w:t>
      </w:r>
      <w:r w:rsidR="00E739F9">
        <w:rPr>
          <w:color w:val="005EB8"/>
          <w:sz w:val="36"/>
          <w:szCs w:val="36"/>
        </w:rPr>
        <w:t>2024/25</w:t>
      </w:r>
    </w:p>
    <w:bookmarkEnd w:id="0"/>
    <w:p w14:paraId="4C1514C2" w14:textId="24C6D88D" w:rsidR="0036112F" w:rsidRDefault="0036112F" w:rsidP="0036112F">
      <w:pPr>
        <w:pStyle w:val="Heading2"/>
      </w:pPr>
      <w:r>
        <w:t xml:space="preserve">Information for NHS organisations on how to access this funding, including the application </w:t>
      </w:r>
      <w:r w:rsidR="00A9515C">
        <w:t>process.</w:t>
      </w:r>
    </w:p>
    <w:p w14:paraId="2D9D6715" w14:textId="7B6E5E4E" w:rsidR="0036112F" w:rsidRDefault="001249DA" w:rsidP="00107CF7">
      <w:r>
        <w:rPr>
          <w:noProof/>
        </w:rPr>
        <mc:AlternateContent>
          <mc:Choice Requires="wps">
            <w:drawing>
              <wp:anchor distT="0" distB="0" distL="114300" distR="114300" simplePos="0" relativeHeight="251658240" behindDoc="0" locked="0" layoutInCell="1" allowOverlap="1" wp14:anchorId="0694FA83" wp14:editId="59530127">
                <wp:simplePos x="0" y="0"/>
                <wp:positionH relativeFrom="margin">
                  <wp:align>right</wp:align>
                </wp:positionH>
                <wp:positionV relativeFrom="paragraph">
                  <wp:posOffset>673100</wp:posOffset>
                </wp:positionV>
                <wp:extent cx="6461760" cy="6616065"/>
                <wp:effectExtent l="0" t="0" r="15240" b="13335"/>
                <wp:wrapSquare wrapText="bothSides"/>
                <wp:docPr id="1" name="Text Box 1"/>
                <wp:cNvGraphicFramePr/>
                <a:graphic xmlns:a="http://schemas.openxmlformats.org/drawingml/2006/main">
                  <a:graphicData uri="http://schemas.microsoft.com/office/word/2010/wordprocessingShape">
                    <wps:wsp>
                      <wps:cNvSpPr txBox="1"/>
                      <wps:spPr>
                        <a:xfrm>
                          <a:off x="0" y="0"/>
                          <a:ext cx="6461760" cy="6616065"/>
                        </a:xfrm>
                        <a:prstGeom prst="rect">
                          <a:avLst/>
                        </a:prstGeom>
                        <a:noFill/>
                        <a:ln w="19050">
                          <a:solidFill>
                            <a:srgbClr val="005EB8"/>
                          </a:solidFill>
                        </a:ln>
                      </wps:spPr>
                      <wps:txbx>
                        <w:txbxContent>
                          <w:p w14:paraId="7CA7CBDA" w14:textId="768E9A9B" w:rsidR="00F230D6" w:rsidRPr="001249DA" w:rsidRDefault="0036112F" w:rsidP="0036112F">
                            <w:pPr>
                              <w:rPr>
                                <w:b/>
                                <w:bCs/>
                                <w:color w:val="00A9CE"/>
                                <w:sz w:val="32"/>
                                <w:szCs w:val="32"/>
                              </w:rPr>
                            </w:pPr>
                            <w:r w:rsidRPr="001249DA">
                              <w:rPr>
                                <w:b/>
                                <w:bCs/>
                                <w:color w:val="00A9CE"/>
                                <w:sz w:val="32"/>
                                <w:szCs w:val="32"/>
                              </w:rPr>
                              <w:t>Key Messages</w:t>
                            </w:r>
                          </w:p>
                          <w:p w14:paraId="55A9311A" w14:textId="2CB25E1B" w:rsidR="00F95337" w:rsidRPr="00FB5475" w:rsidRDefault="00F95337" w:rsidP="00F95337">
                            <w:pPr>
                              <w:pStyle w:val="Heading2"/>
                              <w:rPr>
                                <w:b w:val="0"/>
                                <w:bCs w:val="0"/>
                                <w:sz w:val="22"/>
                                <w:szCs w:val="22"/>
                              </w:rPr>
                            </w:pPr>
                            <w:r w:rsidRPr="00FB5475">
                              <w:rPr>
                                <w:color w:val="FF0000"/>
                                <w:sz w:val="22"/>
                                <w:szCs w:val="22"/>
                              </w:rPr>
                              <w:t xml:space="preserve">2024/25 </w:t>
                            </w:r>
                            <w:r w:rsidR="00341E2F" w:rsidRPr="00FB5475">
                              <w:rPr>
                                <w:color w:val="FF0000"/>
                                <w:sz w:val="22"/>
                                <w:szCs w:val="22"/>
                              </w:rPr>
                              <w:t xml:space="preserve">funding for the NHS England South East </w:t>
                            </w:r>
                            <w:r w:rsidRPr="00FB5475">
                              <w:rPr>
                                <w:color w:val="FF0000"/>
                                <w:sz w:val="22"/>
                                <w:szCs w:val="22"/>
                              </w:rPr>
                              <w:t>Cancer &amp; Diagnostics</w:t>
                            </w:r>
                            <w:r w:rsidR="00341E2F" w:rsidRPr="00FB5475">
                              <w:rPr>
                                <w:color w:val="FF0000"/>
                                <w:sz w:val="22"/>
                                <w:szCs w:val="22"/>
                              </w:rPr>
                              <w:t xml:space="preserve"> Programme [part of the Workforce, Training &amp; Education Directorate]</w:t>
                            </w:r>
                            <w:r w:rsidR="00471DEC" w:rsidRPr="00FB5475">
                              <w:rPr>
                                <w:color w:val="FF0000"/>
                                <w:sz w:val="22"/>
                                <w:szCs w:val="22"/>
                              </w:rPr>
                              <w:t xml:space="preserve"> </w:t>
                            </w:r>
                            <w:r w:rsidR="00341E2F" w:rsidRPr="00FB5475">
                              <w:rPr>
                                <w:color w:val="FF0000"/>
                                <w:sz w:val="22"/>
                                <w:szCs w:val="22"/>
                              </w:rPr>
                              <w:t xml:space="preserve">has not yet been confirmed. </w:t>
                            </w:r>
                            <w:r w:rsidR="00341E2F" w:rsidRPr="00FB5475">
                              <w:rPr>
                                <w:b w:val="0"/>
                                <w:bCs w:val="0"/>
                                <w:sz w:val="22"/>
                                <w:szCs w:val="22"/>
                              </w:rPr>
                              <w:t>We</w:t>
                            </w:r>
                            <w:r w:rsidR="00471DEC" w:rsidRPr="00FB5475">
                              <w:rPr>
                                <w:b w:val="0"/>
                                <w:bCs w:val="0"/>
                                <w:sz w:val="22"/>
                                <w:szCs w:val="22"/>
                              </w:rPr>
                              <w:t xml:space="preserve"> are hopeful that the budget will include funding to support</w:t>
                            </w:r>
                            <w:r w:rsidR="00471DEC" w:rsidRPr="00FB5475">
                              <w:rPr>
                                <w:sz w:val="22"/>
                                <w:szCs w:val="22"/>
                              </w:rPr>
                              <w:t xml:space="preserve"> </w:t>
                            </w:r>
                            <w:r w:rsidR="003F6A21" w:rsidRPr="00FB5475">
                              <w:rPr>
                                <w:i/>
                                <w:iCs/>
                                <w:sz w:val="22"/>
                                <w:szCs w:val="22"/>
                              </w:rPr>
                              <w:t>Endoscopy Practice Education</w:t>
                            </w:r>
                            <w:r w:rsidR="00341E2F" w:rsidRPr="00FB5475">
                              <w:rPr>
                                <w:sz w:val="22"/>
                                <w:szCs w:val="22"/>
                              </w:rPr>
                              <w:t xml:space="preserve"> </w:t>
                            </w:r>
                            <w:r w:rsidR="00341E2F" w:rsidRPr="00FB5475">
                              <w:rPr>
                                <w:b w:val="0"/>
                                <w:bCs w:val="0"/>
                                <w:sz w:val="22"/>
                                <w:szCs w:val="22"/>
                              </w:rPr>
                              <w:t xml:space="preserve">and </w:t>
                            </w:r>
                            <w:r w:rsidR="001269D6" w:rsidRPr="00FB5475">
                              <w:rPr>
                                <w:b w:val="0"/>
                                <w:bCs w:val="0"/>
                                <w:sz w:val="22"/>
                                <w:szCs w:val="22"/>
                              </w:rPr>
                              <w:t xml:space="preserve">we </w:t>
                            </w:r>
                            <w:r w:rsidR="00341E2F" w:rsidRPr="00FB5475">
                              <w:rPr>
                                <w:b w:val="0"/>
                                <w:bCs w:val="0"/>
                                <w:sz w:val="22"/>
                                <w:szCs w:val="22"/>
                              </w:rPr>
                              <w:t>ar</w:t>
                            </w:r>
                            <w:r w:rsidR="0052410D" w:rsidRPr="00FB5475">
                              <w:rPr>
                                <w:b w:val="0"/>
                                <w:bCs w:val="0"/>
                                <w:sz w:val="22"/>
                                <w:szCs w:val="22"/>
                              </w:rPr>
                              <w:t>e therefore progressing with application</w:t>
                            </w:r>
                            <w:r w:rsidR="001269D6" w:rsidRPr="00FB5475">
                              <w:rPr>
                                <w:b w:val="0"/>
                                <w:bCs w:val="0"/>
                                <w:sz w:val="22"/>
                                <w:szCs w:val="22"/>
                              </w:rPr>
                              <w:t>s</w:t>
                            </w:r>
                            <w:r w:rsidR="00C95AED" w:rsidRPr="00FB5475">
                              <w:rPr>
                                <w:b w:val="0"/>
                                <w:bCs w:val="0"/>
                                <w:sz w:val="22"/>
                                <w:szCs w:val="22"/>
                              </w:rPr>
                              <w:t>,</w:t>
                            </w:r>
                            <w:r w:rsidR="009D4078" w:rsidRPr="00FB5475">
                              <w:rPr>
                                <w:b w:val="0"/>
                                <w:bCs w:val="0"/>
                                <w:sz w:val="22"/>
                                <w:szCs w:val="22"/>
                              </w:rPr>
                              <w:t xml:space="preserve"> which will be reviewed and</w:t>
                            </w:r>
                            <w:r w:rsidR="00C95AED" w:rsidRPr="00FB5475">
                              <w:rPr>
                                <w:b w:val="0"/>
                                <w:bCs w:val="0"/>
                                <w:sz w:val="22"/>
                                <w:szCs w:val="22"/>
                              </w:rPr>
                              <w:t xml:space="preserve"> provisionally</w:t>
                            </w:r>
                            <w:r w:rsidR="009D4078" w:rsidRPr="00FB5475">
                              <w:rPr>
                                <w:b w:val="0"/>
                                <w:bCs w:val="0"/>
                                <w:sz w:val="22"/>
                                <w:szCs w:val="22"/>
                              </w:rPr>
                              <w:t xml:space="preserve"> approved subject to funding confirmation from the National Team</w:t>
                            </w:r>
                            <w:r w:rsidR="00C95AED" w:rsidRPr="00FB5475">
                              <w:rPr>
                                <w:b w:val="0"/>
                                <w:bCs w:val="0"/>
                                <w:sz w:val="22"/>
                                <w:szCs w:val="22"/>
                              </w:rPr>
                              <w:t xml:space="preserve">. </w:t>
                            </w:r>
                          </w:p>
                          <w:p w14:paraId="00D9CC46" w14:textId="4BE6BC60" w:rsidR="009D4078" w:rsidRPr="00FB5475" w:rsidRDefault="00C95AED" w:rsidP="009D4078">
                            <w:pPr>
                              <w:rPr>
                                <w:sz w:val="22"/>
                                <w:szCs w:val="22"/>
                              </w:rPr>
                            </w:pPr>
                            <w:r w:rsidRPr="00FB5475">
                              <w:rPr>
                                <w:sz w:val="22"/>
                                <w:szCs w:val="22"/>
                              </w:rPr>
                              <w:t xml:space="preserve">This document details the 2024/25 offer for </w:t>
                            </w:r>
                            <w:r w:rsidR="003F6A21" w:rsidRPr="00FB5475">
                              <w:rPr>
                                <w:rFonts w:cs="Arial"/>
                                <w:color w:val="1C1C1C"/>
                                <w:sz w:val="22"/>
                                <w:szCs w:val="22"/>
                                <w:lang w:val="en-US"/>
                              </w:rPr>
                              <w:t>Endoscopy Practice Education.</w:t>
                            </w:r>
                          </w:p>
                          <w:p w14:paraId="7D9D41C3" w14:textId="77777777" w:rsidR="0036112F" w:rsidRPr="00FB5475" w:rsidRDefault="0036112F" w:rsidP="0036112F">
                            <w:pPr>
                              <w:rPr>
                                <w:rFonts w:cs="Arial"/>
                                <w:sz w:val="22"/>
                                <w:szCs w:val="22"/>
                              </w:rPr>
                            </w:pPr>
                          </w:p>
                          <w:p w14:paraId="0C73BFB0" w14:textId="7ECE5C2F" w:rsidR="0036112F" w:rsidRPr="00FB5475" w:rsidRDefault="0036112F" w:rsidP="0036112F">
                            <w:pPr>
                              <w:rPr>
                                <w:rFonts w:cs="Arial"/>
                                <w:color w:val="1C1C1C"/>
                                <w:sz w:val="22"/>
                                <w:szCs w:val="22"/>
                              </w:rPr>
                            </w:pPr>
                            <w:r w:rsidRPr="00FB5475">
                              <w:rPr>
                                <w:rFonts w:cs="Arial"/>
                                <w:color w:val="1C1C1C"/>
                                <w:sz w:val="22"/>
                                <w:szCs w:val="22"/>
                                <w:lang w:val="en-US"/>
                              </w:rPr>
                              <w:t>The funding offer is designed to</w:t>
                            </w:r>
                            <w:r w:rsidR="003F6A21" w:rsidRPr="00FB5475">
                              <w:rPr>
                                <w:rFonts w:cs="Arial"/>
                                <w:color w:val="1C1C1C"/>
                                <w:sz w:val="22"/>
                                <w:szCs w:val="22"/>
                                <w:lang w:val="en-US"/>
                              </w:rPr>
                              <w:t xml:space="preserve"> support Trusts to provide salary and training opportunities for dedicated practice educators in endoscopy</w:t>
                            </w:r>
                            <w:r w:rsidR="00254C8A" w:rsidRPr="00FB5475">
                              <w:rPr>
                                <w:rFonts w:cs="Arial"/>
                                <w:b/>
                                <w:bCs/>
                                <w:color w:val="0070C0"/>
                                <w:sz w:val="22"/>
                                <w:szCs w:val="22"/>
                                <w:lang w:val="en-US"/>
                              </w:rPr>
                              <w:t>.</w:t>
                            </w:r>
                            <w:r w:rsidRPr="00FB5475">
                              <w:rPr>
                                <w:rFonts w:cs="Arial"/>
                                <w:color w:val="1C1C1C"/>
                                <w:sz w:val="22"/>
                                <w:szCs w:val="22"/>
                                <w:lang w:val="en-US"/>
                              </w:rPr>
                              <w:t xml:space="preserve"> </w:t>
                            </w:r>
                          </w:p>
                          <w:p w14:paraId="4F8D7583" w14:textId="77777777" w:rsidR="0036112F" w:rsidRPr="00FB5475" w:rsidRDefault="0036112F" w:rsidP="0036112F">
                            <w:pPr>
                              <w:rPr>
                                <w:rFonts w:cs="Arial"/>
                                <w:color w:val="1C1C1C"/>
                                <w:sz w:val="22"/>
                                <w:szCs w:val="22"/>
                              </w:rPr>
                            </w:pPr>
                          </w:p>
                          <w:p w14:paraId="65CDB18C" w14:textId="7AC8A870" w:rsidR="00627FAA" w:rsidRPr="00FB5475" w:rsidRDefault="00627FAA" w:rsidP="00627FAA">
                            <w:pPr>
                              <w:rPr>
                                <w:rFonts w:cs="Arial"/>
                                <w:color w:val="1C1C1C"/>
                                <w:sz w:val="22"/>
                                <w:szCs w:val="22"/>
                              </w:rPr>
                            </w:pPr>
                            <w:r w:rsidRPr="00FB5475">
                              <w:rPr>
                                <w:rFonts w:cs="Arial"/>
                                <w:color w:val="1C1C1C"/>
                                <w:sz w:val="22"/>
                                <w:szCs w:val="22"/>
                              </w:rPr>
                              <w:t>This funding is available to Endoscopy units in</w:t>
                            </w:r>
                            <w:r w:rsidR="00F03603" w:rsidRPr="00FB5475">
                              <w:rPr>
                                <w:rFonts w:cs="Arial"/>
                                <w:color w:val="1C1C1C"/>
                                <w:sz w:val="22"/>
                                <w:szCs w:val="22"/>
                              </w:rPr>
                              <w:t xml:space="preserve"> NHS Trusts and CDCs within</w:t>
                            </w:r>
                            <w:r w:rsidRPr="00FB5475">
                              <w:rPr>
                                <w:rFonts w:cs="Arial"/>
                                <w:color w:val="1C1C1C"/>
                                <w:sz w:val="22"/>
                                <w:szCs w:val="22"/>
                              </w:rPr>
                              <w:t xml:space="preserve"> South East Integrated Care Systems (ICSs) Kent &amp; Medway, Sussex, Surrey Heartlands, Frimley, Buckinghamshire, Oxfordshire &amp; Berkshire West and Hampshire &amp; Isle of Wight. </w:t>
                            </w:r>
                            <w:r w:rsidR="00FB71F8" w:rsidRPr="00E76535">
                              <w:rPr>
                                <w:rFonts w:cs="Arial"/>
                                <w:color w:val="1C1C1C"/>
                                <w:sz w:val="22"/>
                                <w:szCs w:val="22"/>
                              </w:rPr>
                              <w:t xml:space="preserve">Salary </w:t>
                            </w:r>
                            <w:r w:rsidR="008A0A4E" w:rsidRPr="00E76535">
                              <w:rPr>
                                <w:rFonts w:cs="Arial"/>
                                <w:color w:val="1C1C1C"/>
                                <w:sz w:val="22"/>
                                <w:szCs w:val="22"/>
                              </w:rPr>
                              <w:t>funding should not be used for practice educators in endoscopy who are</w:t>
                            </w:r>
                            <w:r w:rsidR="00E37347" w:rsidRPr="00E76535">
                              <w:rPr>
                                <w:rFonts w:cs="Arial"/>
                                <w:color w:val="1C1C1C"/>
                                <w:sz w:val="22"/>
                                <w:szCs w:val="22"/>
                              </w:rPr>
                              <w:t xml:space="preserve"> already </w:t>
                            </w:r>
                            <w:r w:rsidR="003A2102" w:rsidRPr="00E76535">
                              <w:rPr>
                                <w:rFonts w:cs="Arial"/>
                                <w:color w:val="1C1C1C"/>
                                <w:sz w:val="22"/>
                                <w:szCs w:val="22"/>
                              </w:rPr>
                              <w:t xml:space="preserve">in posts </w:t>
                            </w:r>
                            <w:r w:rsidR="008A0A4E" w:rsidRPr="00E76535">
                              <w:rPr>
                                <w:rFonts w:cs="Arial"/>
                                <w:color w:val="1C1C1C"/>
                                <w:sz w:val="22"/>
                                <w:szCs w:val="22"/>
                              </w:rPr>
                              <w:t xml:space="preserve">funded </w:t>
                            </w:r>
                            <w:r w:rsidR="00FB71F8" w:rsidRPr="00E76535">
                              <w:rPr>
                                <w:rFonts w:cs="Arial"/>
                                <w:color w:val="1C1C1C"/>
                                <w:sz w:val="22"/>
                                <w:szCs w:val="22"/>
                              </w:rPr>
                              <w:t xml:space="preserve">by </w:t>
                            </w:r>
                            <w:r w:rsidR="003A2102" w:rsidRPr="00E76535">
                              <w:rPr>
                                <w:rFonts w:cs="Arial"/>
                                <w:color w:val="1C1C1C"/>
                                <w:sz w:val="22"/>
                                <w:szCs w:val="22"/>
                              </w:rPr>
                              <w:t xml:space="preserve">their employing </w:t>
                            </w:r>
                            <w:r w:rsidR="00FB71F8" w:rsidRPr="00E76535">
                              <w:rPr>
                                <w:rFonts w:cs="Arial"/>
                                <w:color w:val="1C1C1C"/>
                                <w:sz w:val="22"/>
                                <w:szCs w:val="22"/>
                              </w:rPr>
                              <w:t>Trust</w:t>
                            </w:r>
                            <w:r w:rsidR="00F84FF3" w:rsidRPr="00FB5475">
                              <w:rPr>
                                <w:rFonts w:cs="Arial"/>
                                <w:color w:val="1C1C1C"/>
                                <w:sz w:val="22"/>
                                <w:szCs w:val="22"/>
                              </w:rPr>
                              <w:t xml:space="preserve">. Trusts with established practice educators should consider </w:t>
                            </w:r>
                            <w:r w:rsidR="009E3279" w:rsidRPr="00FB5475">
                              <w:rPr>
                                <w:rFonts w:cs="Arial"/>
                                <w:color w:val="1C1C1C"/>
                                <w:sz w:val="22"/>
                                <w:szCs w:val="22"/>
                              </w:rPr>
                              <w:t>how this funding could be used for training opportunities for their practice educators.</w:t>
                            </w:r>
                          </w:p>
                          <w:p w14:paraId="1C588DE7" w14:textId="77777777" w:rsidR="009E3279" w:rsidRPr="00FB5475" w:rsidRDefault="009E3279" w:rsidP="00627FAA">
                            <w:pPr>
                              <w:rPr>
                                <w:rFonts w:cs="Arial"/>
                                <w:b/>
                                <w:bCs/>
                                <w:color w:val="1C1C1C"/>
                                <w:sz w:val="22"/>
                                <w:szCs w:val="22"/>
                              </w:rPr>
                            </w:pPr>
                          </w:p>
                          <w:p w14:paraId="1F21230D" w14:textId="14326F32" w:rsidR="00627FAA" w:rsidRPr="00FB5475" w:rsidRDefault="00096E12" w:rsidP="00627FAA">
                            <w:pPr>
                              <w:rPr>
                                <w:rFonts w:cs="Arial"/>
                                <w:b/>
                                <w:bCs/>
                                <w:color w:val="1C1C1C"/>
                                <w:sz w:val="22"/>
                                <w:szCs w:val="22"/>
                              </w:rPr>
                            </w:pPr>
                            <w:r w:rsidRPr="00FB5475">
                              <w:rPr>
                                <w:rFonts w:cs="Arial"/>
                                <w:b/>
                                <w:bCs/>
                                <w:color w:val="1C1C1C"/>
                                <w:sz w:val="22"/>
                                <w:szCs w:val="22"/>
                              </w:rPr>
                              <w:t>F</w:t>
                            </w:r>
                            <w:r w:rsidR="00627FAA" w:rsidRPr="00FB5475">
                              <w:rPr>
                                <w:rFonts w:cs="Arial"/>
                                <w:b/>
                                <w:bCs/>
                                <w:color w:val="1C1C1C"/>
                                <w:sz w:val="22"/>
                                <w:szCs w:val="22"/>
                              </w:rPr>
                              <w:t>unding c</w:t>
                            </w:r>
                            <w:r w:rsidR="00106F8B" w:rsidRPr="00FB5475">
                              <w:rPr>
                                <w:rFonts w:cs="Arial"/>
                                <w:b/>
                                <w:bCs/>
                                <w:color w:val="1C1C1C"/>
                                <w:sz w:val="22"/>
                                <w:szCs w:val="22"/>
                              </w:rPr>
                              <w:t>ould</w:t>
                            </w:r>
                            <w:r w:rsidR="00627FAA" w:rsidRPr="00FB5475">
                              <w:rPr>
                                <w:rFonts w:cs="Arial"/>
                                <w:b/>
                                <w:bCs/>
                                <w:color w:val="1C1C1C"/>
                                <w:sz w:val="22"/>
                                <w:szCs w:val="22"/>
                              </w:rPr>
                              <w:t xml:space="preserve"> be used to</w:t>
                            </w:r>
                            <w:r w:rsidR="00106F8B" w:rsidRPr="00FB5475">
                              <w:rPr>
                                <w:rFonts w:cs="Arial"/>
                                <w:b/>
                                <w:bCs/>
                                <w:color w:val="1C1C1C"/>
                                <w:sz w:val="22"/>
                                <w:szCs w:val="22"/>
                              </w:rPr>
                              <w:t xml:space="preserve"> support</w:t>
                            </w:r>
                            <w:r w:rsidR="00627FAA" w:rsidRPr="00FB5475">
                              <w:rPr>
                                <w:rFonts w:cs="Arial"/>
                                <w:b/>
                                <w:bCs/>
                                <w:color w:val="1C1C1C"/>
                                <w:sz w:val="22"/>
                                <w:szCs w:val="22"/>
                              </w:rPr>
                              <w:t>:</w:t>
                            </w:r>
                          </w:p>
                          <w:p w14:paraId="554A5F5F" w14:textId="4A6EE585" w:rsidR="00627FAA" w:rsidRPr="00FB5475" w:rsidRDefault="00106F8B" w:rsidP="00627FAA">
                            <w:pPr>
                              <w:pStyle w:val="ListParagraph"/>
                              <w:numPr>
                                <w:ilvl w:val="0"/>
                                <w:numId w:val="14"/>
                              </w:numPr>
                              <w:rPr>
                                <w:rFonts w:cs="Arial"/>
                                <w:color w:val="1C1C1C"/>
                                <w:sz w:val="22"/>
                                <w:szCs w:val="22"/>
                              </w:rPr>
                            </w:pPr>
                            <w:r w:rsidRPr="00614258">
                              <w:rPr>
                                <w:rFonts w:cs="Arial"/>
                                <w:color w:val="1C1C1C"/>
                                <w:sz w:val="22"/>
                                <w:szCs w:val="22"/>
                              </w:rPr>
                              <w:t>S</w:t>
                            </w:r>
                            <w:r w:rsidR="00096E12" w:rsidRPr="00614258">
                              <w:rPr>
                                <w:rFonts w:cs="Arial"/>
                                <w:color w:val="1C1C1C"/>
                                <w:sz w:val="22"/>
                                <w:szCs w:val="22"/>
                              </w:rPr>
                              <w:t xml:space="preserve">alary </w:t>
                            </w:r>
                            <w:r w:rsidR="00096E12" w:rsidRPr="00FB5475">
                              <w:rPr>
                                <w:rFonts w:cs="Arial"/>
                                <w:color w:val="1C1C1C"/>
                                <w:sz w:val="22"/>
                                <w:szCs w:val="22"/>
                              </w:rPr>
                              <w:t>for an existing endoscopy practice educator</w:t>
                            </w:r>
                            <w:r w:rsidR="00F45CB4" w:rsidRPr="00FB5475">
                              <w:rPr>
                                <w:rFonts w:cs="Arial"/>
                                <w:color w:val="1C1C1C"/>
                                <w:sz w:val="22"/>
                                <w:szCs w:val="22"/>
                              </w:rPr>
                              <w:t xml:space="preserve"> for 1 day a week</w:t>
                            </w:r>
                            <w:r w:rsidR="00D73B60" w:rsidRPr="00FB5475">
                              <w:rPr>
                                <w:rFonts w:cs="Arial"/>
                                <w:color w:val="1C1C1C"/>
                                <w:sz w:val="22"/>
                                <w:szCs w:val="22"/>
                              </w:rPr>
                              <w:t xml:space="preserve"> (where</w:t>
                            </w:r>
                            <w:r w:rsidR="009E3279" w:rsidRPr="00FB5475">
                              <w:rPr>
                                <w:rFonts w:cs="Arial"/>
                                <w:color w:val="1C1C1C"/>
                                <w:sz w:val="22"/>
                                <w:szCs w:val="22"/>
                              </w:rPr>
                              <w:t xml:space="preserve"> practice educator</w:t>
                            </w:r>
                            <w:r w:rsidR="00D73B60" w:rsidRPr="00FB5475">
                              <w:rPr>
                                <w:rFonts w:cs="Arial"/>
                                <w:color w:val="1C1C1C"/>
                                <w:sz w:val="22"/>
                                <w:szCs w:val="22"/>
                              </w:rPr>
                              <w:t xml:space="preserve"> </w:t>
                            </w:r>
                            <w:r w:rsidR="008A0A4E" w:rsidRPr="00FB5475">
                              <w:rPr>
                                <w:rFonts w:cs="Arial"/>
                                <w:color w:val="1C1C1C"/>
                                <w:sz w:val="22"/>
                                <w:szCs w:val="22"/>
                              </w:rPr>
                              <w:t xml:space="preserve">salary is not </w:t>
                            </w:r>
                            <w:r w:rsidR="009E3279" w:rsidRPr="00FB5475">
                              <w:rPr>
                                <w:rFonts w:cs="Arial"/>
                                <w:color w:val="1C1C1C"/>
                                <w:sz w:val="22"/>
                                <w:szCs w:val="22"/>
                              </w:rPr>
                              <w:t xml:space="preserve">part of the </w:t>
                            </w:r>
                            <w:r w:rsidR="00F230D6" w:rsidRPr="00FB5475">
                              <w:rPr>
                                <w:rFonts w:cs="Arial"/>
                                <w:color w:val="1C1C1C"/>
                                <w:sz w:val="22"/>
                                <w:szCs w:val="22"/>
                              </w:rPr>
                              <w:t>current establishment</w:t>
                            </w:r>
                            <w:r w:rsidR="008A0A4E" w:rsidRPr="00FB5475">
                              <w:rPr>
                                <w:rFonts w:cs="Arial"/>
                                <w:color w:val="1C1C1C"/>
                                <w:sz w:val="22"/>
                                <w:szCs w:val="22"/>
                              </w:rPr>
                              <w:t>)</w:t>
                            </w:r>
                          </w:p>
                          <w:p w14:paraId="0D2E2763" w14:textId="3584FBD5" w:rsidR="0067641F" w:rsidRPr="00FB5475" w:rsidRDefault="00106F8B" w:rsidP="0067641F">
                            <w:pPr>
                              <w:pStyle w:val="ListParagraph"/>
                              <w:numPr>
                                <w:ilvl w:val="0"/>
                                <w:numId w:val="14"/>
                              </w:numPr>
                              <w:rPr>
                                <w:rFonts w:cs="Arial"/>
                                <w:color w:val="1C1C1C"/>
                                <w:sz w:val="22"/>
                                <w:szCs w:val="22"/>
                              </w:rPr>
                            </w:pPr>
                            <w:r w:rsidRPr="00614258">
                              <w:rPr>
                                <w:rFonts w:cs="Arial"/>
                                <w:color w:val="1C1C1C"/>
                                <w:sz w:val="22"/>
                                <w:szCs w:val="22"/>
                              </w:rPr>
                              <w:t>S</w:t>
                            </w:r>
                            <w:r w:rsidR="00866981" w:rsidRPr="00614258">
                              <w:rPr>
                                <w:rFonts w:cs="Arial"/>
                                <w:color w:val="1C1C1C"/>
                                <w:sz w:val="22"/>
                                <w:szCs w:val="22"/>
                              </w:rPr>
                              <w:t xml:space="preserve">alary </w:t>
                            </w:r>
                            <w:r w:rsidR="00866981" w:rsidRPr="00FB5475">
                              <w:rPr>
                                <w:rFonts w:cs="Arial"/>
                                <w:color w:val="1C1C1C"/>
                                <w:sz w:val="22"/>
                                <w:szCs w:val="22"/>
                              </w:rPr>
                              <w:t>for a new</w:t>
                            </w:r>
                            <w:r w:rsidR="00AB533C" w:rsidRPr="00FB5475">
                              <w:rPr>
                                <w:rFonts w:cs="Arial"/>
                                <w:color w:val="1C1C1C"/>
                                <w:sz w:val="22"/>
                                <w:szCs w:val="22"/>
                              </w:rPr>
                              <w:t>, named</w:t>
                            </w:r>
                            <w:r w:rsidR="00866981" w:rsidRPr="00FB5475">
                              <w:rPr>
                                <w:rFonts w:cs="Arial"/>
                                <w:color w:val="1C1C1C"/>
                                <w:sz w:val="22"/>
                                <w:szCs w:val="22"/>
                              </w:rPr>
                              <w:t xml:space="preserve"> endoscopy practice educator</w:t>
                            </w:r>
                            <w:r w:rsidR="00F45CB4" w:rsidRPr="00FB5475">
                              <w:rPr>
                                <w:rFonts w:cs="Arial"/>
                                <w:color w:val="1C1C1C"/>
                                <w:sz w:val="22"/>
                                <w:szCs w:val="22"/>
                              </w:rPr>
                              <w:t xml:space="preserve"> for 1 day a week</w:t>
                            </w:r>
                          </w:p>
                          <w:p w14:paraId="59BB9AAA" w14:textId="64EF050B" w:rsidR="0061221F" w:rsidRPr="00FB5475" w:rsidRDefault="00106F8B" w:rsidP="0067641F">
                            <w:pPr>
                              <w:pStyle w:val="ListParagraph"/>
                              <w:numPr>
                                <w:ilvl w:val="0"/>
                                <w:numId w:val="14"/>
                              </w:numPr>
                              <w:rPr>
                                <w:rFonts w:cs="Arial"/>
                                <w:color w:val="1C1C1C"/>
                                <w:sz w:val="22"/>
                                <w:szCs w:val="22"/>
                              </w:rPr>
                            </w:pPr>
                            <w:r w:rsidRPr="00614258">
                              <w:rPr>
                                <w:rFonts w:cs="Arial"/>
                                <w:color w:val="1C1C1C"/>
                                <w:sz w:val="22"/>
                                <w:szCs w:val="22"/>
                              </w:rPr>
                              <w:t>C</w:t>
                            </w:r>
                            <w:r w:rsidR="00627FAA" w:rsidRPr="00614258">
                              <w:rPr>
                                <w:rFonts w:cs="Arial"/>
                                <w:color w:val="1C1C1C"/>
                                <w:sz w:val="22"/>
                                <w:szCs w:val="22"/>
                              </w:rPr>
                              <w:t>ourse</w:t>
                            </w:r>
                            <w:r w:rsidR="00096E12" w:rsidRPr="00614258">
                              <w:rPr>
                                <w:rFonts w:cs="Arial"/>
                                <w:color w:val="1C1C1C"/>
                                <w:sz w:val="22"/>
                                <w:szCs w:val="22"/>
                              </w:rPr>
                              <w:t>/academic module fees</w:t>
                            </w:r>
                            <w:r w:rsidR="00096E12" w:rsidRPr="00FB5475">
                              <w:rPr>
                                <w:rFonts w:cs="Arial"/>
                                <w:b/>
                                <w:bCs/>
                                <w:color w:val="1C1C1C"/>
                                <w:sz w:val="22"/>
                                <w:szCs w:val="22"/>
                              </w:rPr>
                              <w:t xml:space="preserve"> </w:t>
                            </w:r>
                            <w:r w:rsidR="00096E12" w:rsidRPr="00FB5475">
                              <w:rPr>
                                <w:rFonts w:cs="Arial"/>
                                <w:color w:val="1C1C1C"/>
                                <w:sz w:val="22"/>
                                <w:szCs w:val="22"/>
                              </w:rPr>
                              <w:t xml:space="preserve">for an endoscopy practice educator to </w:t>
                            </w:r>
                            <w:r w:rsidR="00866981" w:rsidRPr="00FB5475">
                              <w:rPr>
                                <w:rFonts w:cs="Arial"/>
                                <w:color w:val="1C1C1C"/>
                                <w:sz w:val="22"/>
                                <w:szCs w:val="22"/>
                              </w:rPr>
                              <w:t>upskill them in practice education</w:t>
                            </w:r>
                          </w:p>
                          <w:p w14:paraId="2E41BE40" w14:textId="6766F8EA" w:rsidR="0036112F" w:rsidRPr="00FB5475" w:rsidRDefault="0036112F" w:rsidP="00752F86">
                            <w:pPr>
                              <w:rPr>
                                <w:rFonts w:cs="Arial"/>
                                <w:i/>
                                <w:iCs/>
                                <w:color w:val="1C1C1C"/>
                                <w:sz w:val="22"/>
                                <w:szCs w:val="22"/>
                              </w:rPr>
                            </w:pPr>
                          </w:p>
                          <w:p w14:paraId="2B2C767E" w14:textId="77777777" w:rsidR="0036112F" w:rsidRPr="00FB5475" w:rsidRDefault="0036112F" w:rsidP="0036112F">
                            <w:pPr>
                              <w:rPr>
                                <w:rFonts w:cs="Arial"/>
                                <w:b/>
                                <w:bCs/>
                                <w:color w:val="1C1C1C"/>
                                <w:sz w:val="22"/>
                                <w:szCs w:val="22"/>
                              </w:rPr>
                            </w:pPr>
                            <w:r w:rsidRPr="00FB5475">
                              <w:rPr>
                                <w:rFonts w:cs="Arial"/>
                                <w:b/>
                                <w:bCs/>
                                <w:color w:val="1C1C1C"/>
                                <w:sz w:val="22"/>
                                <w:szCs w:val="22"/>
                              </w:rPr>
                              <w:t>Deadline for funding applications</w:t>
                            </w:r>
                          </w:p>
                          <w:p w14:paraId="63CA800F" w14:textId="6A0057C8" w:rsidR="0036112F" w:rsidRPr="00FB5475" w:rsidRDefault="00034451" w:rsidP="0036112F">
                            <w:pPr>
                              <w:pStyle w:val="ListParagraph"/>
                              <w:numPr>
                                <w:ilvl w:val="0"/>
                                <w:numId w:val="2"/>
                              </w:numPr>
                              <w:rPr>
                                <w:rFonts w:cs="Arial"/>
                                <w:color w:val="1C1C1C"/>
                                <w:sz w:val="22"/>
                                <w:szCs w:val="22"/>
                              </w:rPr>
                            </w:pPr>
                            <w:r w:rsidRPr="00FB5475">
                              <w:rPr>
                                <w:rFonts w:cs="Arial"/>
                                <w:b/>
                                <w:bCs/>
                                <w:color w:val="FF0000"/>
                                <w:sz w:val="22"/>
                                <w:szCs w:val="22"/>
                              </w:rPr>
                              <w:t xml:space="preserve">The application window will open </w:t>
                            </w:r>
                            <w:r w:rsidR="00F267C7">
                              <w:rPr>
                                <w:rFonts w:cs="Arial"/>
                                <w:b/>
                                <w:bCs/>
                                <w:color w:val="FF0000"/>
                                <w:sz w:val="22"/>
                                <w:szCs w:val="22"/>
                              </w:rPr>
                              <w:t>in early</w:t>
                            </w:r>
                            <w:r w:rsidRPr="00FB5475">
                              <w:rPr>
                                <w:rFonts w:cs="Arial"/>
                                <w:b/>
                                <w:bCs/>
                                <w:color w:val="FF0000"/>
                                <w:sz w:val="22"/>
                                <w:szCs w:val="22"/>
                              </w:rPr>
                              <w:t xml:space="preserve"> March and will close at 9am</w:t>
                            </w:r>
                            <w:r w:rsidR="0036112F" w:rsidRPr="00FB5475">
                              <w:rPr>
                                <w:rFonts w:cs="Arial"/>
                                <w:b/>
                                <w:bCs/>
                                <w:color w:val="FF0000"/>
                                <w:sz w:val="22"/>
                                <w:szCs w:val="22"/>
                              </w:rPr>
                              <w:t xml:space="preserve"> on </w:t>
                            </w:r>
                            <w:r w:rsidR="007071B9" w:rsidRPr="00FB5475">
                              <w:rPr>
                                <w:rFonts w:cs="Arial"/>
                                <w:b/>
                                <w:bCs/>
                                <w:color w:val="FF0000"/>
                                <w:sz w:val="22"/>
                                <w:szCs w:val="22"/>
                              </w:rPr>
                              <w:t>Tuesday 2 April</w:t>
                            </w:r>
                            <w:r w:rsidR="00DF6194" w:rsidRPr="00FB5475">
                              <w:rPr>
                                <w:rFonts w:cs="Arial"/>
                                <w:b/>
                                <w:bCs/>
                                <w:color w:val="FF0000"/>
                                <w:sz w:val="22"/>
                                <w:szCs w:val="22"/>
                              </w:rPr>
                              <w:t xml:space="preserve"> 2024</w:t>
                            </w:r>
                            <w:r w:rsidR="0036112F" w:rsidRPr="00FB5475">
                              <w:rPr>
                                <w:rFonts w:cs="Arial"/>
                                <w:color w:val="FF0000"/>
                                <w:sz w:val="22"/>
                                <w:szCs w:val="22"/>
                              </w:rPr>
                              <w:t xml:space="preserve"> </w:t>
                            </w:r>
                            <w:r w:rsidR="0036112F" w:rsidRPr="00FB5475">
                              <w:rPr>
                                <w:rFonts w:cs="Arial"/>
                                <w:color w:val="1C1C1C"/>
                                <w:sz w:val="22"/>
                                <w:szCs w:val="22"/>
                              </w:rPr>
                              <w:t xml:space="preserve">to support funding being transferred in </w:t>
                            </w:r>
                            <w:r w:rsidR="00DF6194" w:rsidRPr="00FB5475">
                              <w:rPr>
                                <w:rFonts w:cs="Arial"/>
                                <w:color w:val="1C1C1C"/>
                                <w:sz w:val="22"/>
                                <w:szCs w:val="22"/>
                              </w:rPr>
                              <w:t>June</w:t>
                            </w:r>
                            <w:r w:rsidR="0036112F" w:rsidRPr="00FB5475">
                              <w:rPr>
                                <w:rFonts w:cs="Arial"/>
                                <w:color w:val="1C1C1C"/>
                                <w:sz w:val="22"/>
                                <w:szCs w:val="22"/>
                              </w:rPr>
                              <w:t xml:space="preserve"> </w:t>
                            </w:r>
                            <w:r w:rsidR="00DF6194" w:rsidRPr="00FB5475">
                              <w:rPr>
                                <w:rFonts w:cs="Arial"/>
                                <w:color w:val="1C1C1C"/>
                                <w:sz w:val="22"/>
                                <w:szCs w:val="22"/>
                              </w:rPr>
                              <w:t>2024</w:t>
                            </w:r>
                            <w:r w:rsidRPr="00FB5475">
                              <w:rPr>
                                <w:rFonts w:cs="Arial"/>
                                <w:color w:val="1C1C1C"/>
                                <w:sz w:val="22"/>
                                <w:szCs w:val="22"/>
                              </w:rPr>
                              <w:t xml:space="preserve"> via the NHSE Education Contract </w:t>
                            </w:r>
                            <w:r w:rsidR="001C6231" w:rsidRPr="00FB5475">
                              <w:rPr>
                                <w:rFonts w:cs="Arial"/>
                                <w:color w:val="1C1C1C"/>
                                <w:sz w:val="22"/>
                                <w:szCs w:val="22"/>
                              </w:rPr>
                              <w:t xml:space="preserve">schedule where possible. </w:t>
                            </w:r>
                          </w:p>
                          <w:p w14:paraId="27DE1F74" w14:textId="77777777" w:rsidR="00C2185C" w:rsidRPr="00FB5475" w:rsidRDefault="00805DEA" w:rsidP="00EB6B13">
                            <w:pPr>
                              <w:pStyle w:val="ListParagraph"/>
                              <w:numPr>
                                <w:ilvl w:val="0"/>
                                <w:numId w:val="2"/>
                              </w:numPr>
                              <w:rPr>
                                <w:rFonts w:cs="Arial"/>
                                <w:color w:val="1C1C1C"/>
                                <w:sz w:val="22"/>
                                <w:szCs w:val="22"/>
                              </w:rPr>
                            </w:pPr>
                            <w:r w:rsidRPr="00FB5475">
                              <w:rPr>
                                <w:rFonts w:cs="Arial"/>
                                <w:color w:val="1C1C1C"/>
                                <w:sz w:val="22"/>
                                <w:szCs w:val="22"/>
                              </w:rPr>
                              <w:t>It is possible that a second application round will run later in the year</w:t>
                            </w:r>
                            <w:r w:rsidR="00FB67F7" w:rsidRPr="00FB5475">
                              <w:rPr>
                                <w:rFonts w:cs="Arial"/>
                                <w:color w:val="1C1C1C"/>
                                <w:sz w:val="22"/>
                                <w:szCs w:val="22"/>
                              </w:rPr>
                              <w:t>, subject to available funding</w:t>
                            </w:r>
                            <w:r w:rsidR="00C2185C" w:rsidRPr="00FB5475">
                              <w:rPr>
                                <w:rFonts w:cs="Arial"/>
                                <w:color w:val="1C1C1C"/>
                                <w:sz w:val="22"/>
                                <w:szCs w:val="22"/>
                              </w:rPr>
                              <w:t xml:space="preserve"> but at this stage we aren’t able to confirm this. </w:t>
                            </w:r>
                          </w:p>
                          <w:p w14:paraId="593AF005" w14:textId="77777777" w:rsidR="0024068B" w:rsidRPr="00FB5475" w:rsidRDefault="0024068B" w:rsidP="0024068B">
                            <w:pPr>
                              <w:pStyle w:val="ListParagraph"/>
                              <w:rPr>
                                <w:rFonts w:cs="Arial"/>
                                <w:color w:val="1C1C1C"/>
                                <w:sz w:val="22"/>
                                <w:szCs w:val="22"/>
                              </w:rPr>
                            </w:pPr>
                          </w:p>
                          <w:p w14:paraId="24E50E86" w14:textId="620923F9" w:rsidR="0036112F" w:rsidRPr="00FB5475" w:rsidRDefault="0036112F" w:rsidP="00FB5475">
                            <w:pPr>
                              <w:rPr>
                                <w:rFonts w:cs="Arial"/>
                                <w:color w:val="1C1C1C"/>
                                <w:sz w:val="22"/>
                                <w:szCs w:val="22"/>
                              </w:rPr>
                            </w:pPr>
                            <w:r w:rsidRPr="00FB5475">
                              <w:rPr>
                                <w:rFonts w:cs="Arial"/>
                                <w:color w:val="1C1C1C"/>
                                <w:sz w:val="22"/>
                                <w:szCs w:val="22"/>
                              </w:rPr>
                              <w:t xml:space="preserve">Funding is required to be spent </w:t>
                            </w:r>
                            <w:r w:rsidR="00F05D49" w:rsidRPr="00FB5475">
                              <w:rPr>
                                <w:rFonts w:cs="Arial"/>
                                <w:color w:val="1C1C1C"/>
                                <w:sz w:val="22"/>
                                <w:szCs w:val="22"/>
                              </w:rPr>
                              <w:t xml:space="preserve">and fully utilised </w:t>
                            </w:r>
                            <w:r w:rsidRPr="00FB5475">
                              <w:rPr>
                                <w:rFonts w:cs="Arial"/>
                                <w:color w:val="1C1C1C"/>
                                <w:sz w:val="22"/>
                                <w:szCs w:val="22"/>
                              </w:rPr>
                              <w:t xml:space="preserve">by 31 March </w:t>
                            </w:r>
                            <w:r w:rsidR="00DF6194" w:rsidRPr="00FB5475">
                              <w:rPr>
                                <w:rFonts w:cs="Arial"/>
                                <w:color w:val="1C1C1C"/>
                                <w:sz w:val="22"/>
                                <w:szCs w:val="22"/>
                              </w:rPr>
                              <w:t>2025</w:t>
                            </w:r>
                            <w:r w:rsidRPr="00FB5475">
                              <w:rPr>
                                <w:rFonts w:cs="Arial"/>
                                <w:color w:val="1C1C1C"/>
                                <w:sz w:val="22"/>
                                <w:szCs w:val="22"/>
                              </w:rPr>
                              <w:t xml:space="preserve">, and chosen courses and formal education must start before 31 March </w:t>
                            </w:r>
                            <w:r w:rsidR="00DF6194" w:rsidRPr="00FB5475">
                              <w:rPr>
                                <w:rFonts w:cs="Arial"/>
                                <w:color w:val="1C1C1C"/>
                                <w:sz w:val="22"/>
                                <w:szCs w:val="22"/>
                              </w:rPr>
                              <w:t>2025</w:t>
                            </w:r>
                            <w:r w:rsidRPr="00FB5475">
                              <w:rPr>
                                <w:rFonts w:cs="Arial"/>
                                <w:color w:val="1C1C1C"/>
                                <w:sz w:val="22"/>
                                <w:szCs w:val="22"/>
                              </w:rPr>
                              <w:t>, where applicable.</w:t>
                            </w:r>
                          </w:p>
                          <w:p w14:paraId="783BB8D0" w14:textId="77777777" w:rsidR="00F03603" w:rsidRPr="00FB5475" w:rsidRDefault="00F03603" w:rsidP="0036112F">
                            <w:pPr>
                              <w:rPr>
                                <w:rFonts w:cs="Arial"/>
                                <w:color w:val="1C1C1C"/>
                                <w:sz w:val="22"/>
                                <w:szCs w:val="22"/>
                              </w:rPr>
                            </w:pPr>
                          </w:p>
                          <w:p w14:paraId="65750B47" w14:textId="4DC87450" w:rsidR="001249DA" w:rsidRPr="00FB5475" w:rsidRDefault="001249DA" w:rsidP="0036112F">
                            <w:pPr>
                              <w:rPr>
                                <w:rFonts w:cs="Arial"/>
                                <w:color w:val="1C1C1C"/>
                                <w:sz w:val="22"/>
                                <w:szCs w:val="22"/>
                              </w:rPr>
                            </w:pPr>
                            <w:r w:rsidRPr="00FB5475">
                              <w:rPr>
                                <w:rFonts w:cs="Arial"/>
                                <w:color w:val="1C1C1C"/>
                                <w:sz w:val="22"/>
                                <w:szCs w:val="22"/>
                                <w:lang w:val="en-US"/>
                              </w:rPr>
                              <w:t xml:space="preserve">Please submit applications using this link: </w:t>
                            </w:r>
                            <w:hyperlink r:id="rId11" w:history="1">
                              <w:r w:rsidR="00D97D16">
                                <w:rPr>
                                  <w:rStyle w:val="Hyperlink"/>
                                  <w:rFonts w:cs="Arial"/>
                                  <w:sz w:val="22"/>
                                  <w:szCs w:val="22"/>
                                  <w:lang w:val="en-US"/>
                                </w:rPr>
                                <w:t>Endoscopy Practice Education application form</w:t>
                              </w:r>
                            </w:hyperlink>
                            <w:r w:rsidR="00D97D16">
                              <w:rPr>
                                <w:rFonts w:cs="Arial"/>
                                <w:color w:val="1C1C1C"/>
                                <w:sz w:val="22"/>
                                <w:szCs w:val="22"/>
                                <w:lang w:val="en-US"/>
                              </w:rPr>
                              <w:t xml:space="preserve"> </w:t>
                            </w:r>
                          </w:p>
                          <w:p w14:paraId="026B020D" w14:textId="77777777" w:rsidR="0036112F" w:rsidRPr="00FB5475" w:rsidRDefault="0036112F" w:rsidP="0036112F">
                            <w:pPr>
                              <w:rPr>
                                <w:rFonts w:cs="Arial"/>
                                <w:color w:val="1C1C1C"/>
                                <w:sz w:val="22"/>
                                <w:szCs w:val="22"/>
                              </w:rPr>
                            </w:pPr>
                          </w:p>
                          <w:p w14:paraId="5E3A5841" w14:textId="4A28FCA4" w:rsidR="0036112F" w:rsidRPr="00FB5475" w:rsidRDefault="0036112F" w:rsidP="0036112F">
                            <w:pPr>
                              <w:rPr>
                                <w:rFonts w:cs="Arial"/>
                                <w:color w:val="1C1C1C"/>
                                <w:sz w:val="22"/>
                                <w:szCs w:val="22"/>
                              </w:rPr>
                            </w:pPr>
                            <w:r w:rsidRPr="00FB5475">
                              <w:rPr>
                                <w:rFonts w:cs="Arial"/>
                                <w:color w:val="1C1C1C"/>
                                <w:sz w:val="22"/>
                                <w:szCs w:val="22"/>
                              </w:rPr>
                              <w:t>For any queries please em</w:t>
                            </w:r>
                            <w:r w:rsidR="006B33C5" w:rsidRPr="00FB5475">
                              <w:rPr>
                                <w:rFonts w:cs="Arial"/>
                                <w:color w:val="1C1C1C"/>
                                <w:sz w:val="22"/>
                                <w:szCs w:val="22"/>
                              </w:rPr>
                              <w:t xml:space="preserve">ail: </w:t>
                            </w:r>
                            <w:hyperlink r:id="rId12" w:history="1">
                              <w:r w:rsidR="006B33C5" w:rsidRPr="00FB5475">
                                <w:rPr>
                                  <w:rStyle w:val="Hyperlink"/>
                                  <w:rFonts w:cs="Arial"/>
                                  <w:sz w:val="22"/>
                                  <w:szCs w:val="22"/>
                                </w:rPr>
                                <w:t>england.canceranddiagnostics.se@nhs.net</w:t>
                              </w:r>
                            </w:hyperlink>
                          </w:p>
                          <w:p w14:paraId="36FFAF9B" w14:textId="77777777" w:rsidR="006B33C5" w:rsidRPr="001249DA" w:rsidRDefault="006B33C5" w:rsidP="0036112F">
                            <w:pPr>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4FA83" id="_x0000_t202" coordsize="21600,21600" o:spt="202" path="m,l,21600r21600,l21600,xe">
                <v:stroke joinstyle="miter"/>
                <v:path gradientshapeok="t" o:connecttype="rect"/>
              </v:shapetype>
              <v:shape id="Text Box 1" o:spid="_x0000_s1026" type="#_x0000_t202" style="position:absolute;margin-left:457.6pt;margin-top:53pt;width:508.8pt;height:520.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" filled="f" strokecolor="#005eb8" strokeweight="1.5pt">
                <v:textbox>
                  <w:txbxContent>
                    <w:p w14:paraId="7CA7CBDA" w14:textId="768E9A9B" w:rsidR="00F230D6" w:rsidRPr="001249DA" w:rsidRDefault="0036112F" w:rsidP="0036112F">
                      <w:pPr>
                        <w:rPr>
                          <w:b/>
                          <w:bCs/>
                          <w:color w:val="00A9CE"/>
                          <w:sz w:val="32"/>
                          <w:szCs w:val="32"/>
                        </w:rPr>
                      </w:pPr>
                      <w:r w:rsidRPr="001249DA">
                        <w:rPr>
                          <w:b/>
                          <w:bCs/>
                          <w:color w:val="00A9CE"/>
                          <w:sz w:val="32"/>
                          <w:szCs w:val="32"/>
                        </w:rPr>
                        <w:t>Key Messages</w:t>
                      </w:r>
                    </w:p>
                    <w:p w14:paraId="55A9311A" w14:textId="2CB25E1B" w:rsidR="00F95337" w:rsidRPr="00FB5475" w:rsidRDefault="00F95337" w:rsidP="00F95337">
                      <w:pPr>
                        <w:pStyle w:val="Heading2"/>
                        <w:rPr>
                          <w:b w:val="0"/>
                          <w:bCs w:val="0"/>
                          <w:sz w:val="22"/>
                          <w:szCs w:val="22"/>
                        </w:rPr>
                      </w:pPr>
                      <w:r w:rsidRPr="00FB5475">
                        <w:rPr>
                          <w:color w:val="FF0000"/>
                          <w:sz w:val="22"/>
                          <w:szCs w:val="22"/>
                        </w:rPr>
                        <w:t xml:space="preserve">2024/25 </w:t>
                      </w:r>
                      <w:r w:rsidR="00341E2F" w:rsidRPr="00FB5475">
                        <w:rPr>
                          <w:color w:val="FF0000"/>
                          <w:sz w:val="22"/>
                          <w:szCs w:val="22"/>
                        </w:rPr>
                        <w:t xml:space="preserve">funding for the NHS England South East </w:t>
                      </w:r>
                      <w:r w:rsidRPr="00FB5475">
                        <w:rPr>
                          <w:color w:val="FF0000"/>
                          <w:sz w:val="22"/>
                          <w:szCs w:val="22"/>
                        </w:rPr>
                        <w:t>Cancer &amp; Diagnostics</w:t>
                      </w:r>
                      <w:r w:rsidR="00341E2F" w:rsidRPr="00FB5475">
                        <w:rPr>
                          <w:color w:val="FF0000"/>
                          <w:sz w:val="22"/>
                          <w:szCs w:val="22"/>
                        </w:rPr>
                        <w:t xml:space="preserve"> Programme [part of the Workforce, Training &amp; Education Directorate]</w:t>
                      </w:r>
                      <w:r w:rsidR="00471DEC" w:rsidRPr="00FB5475">
                        <w:rPr>
                          <w:color w:val="FF0000"/>
                          <w:sz w:val="22"/>
                          <w:szCs w:val="22"/>
                        </w:rPr>
                        <w:t xml:space="preserve"> </w:t>
                      </w:r>
                      <w:r w:rsidR="00341E2F" w:rsidRPr="00FB5475">
                        <w:rPr>
                          <w:color w:val="FF0000"/>
                          <w:sz w:val="22"/>
                          <w:szCs w:val="22"/>
                        </w:rPr>
                        <w:t xml:space="preserve">has not yet been confirmed. </w:t>
                      </w:r>
                      <w:r w:rsidR="00341E2F" w:rsidRPr="00FB5475">
                        <w:rPr>
                          <w:b w:val="0"/>
                          <w:bCs w:val="0"/>
                          <w:sz w:val="22"/>
                          <w:szCs w:val="22"/>
                        </w:rPr>
                        <w:t>We</w:t>
                      </w:r>
                      <w:r w:rsidR="00471DEC" w:rsidRPr="00FB5475">
                        <w:rPr>
                          <w:b w:val="0"/>
                          <w:bCs w:val="0"/>
                          <w:sz w:val="22"/>
                          <w:szCs w:val="22"/>
                        </w:rPr>
                        <w:t xml:space="preserve"> are hopeful that the budget will include funding to support</w:t>
                      </w:r>
                      <w:r w:rsidR="00471DEC" w:rsidRPr="00FB5475">
                        <w:rPr>
                          <w:sz w:val="22"/>
                          <w:szCs w:val="22"/>
                        </w:rPr>
                        <w:t xml:space="preserve"> </w:t>
                      </w:r>
                      <w:r w:rsidR="003F6A21" w:rsidRPr="00FB5475">
                        <w:rPr>
                          <w:i/>
                          <w:iCs/>
                          <w:sz w:val="22"/>
                          <w:szCs w:val="22"/>
                        </w:rPr>
                        <w:t>Endoscopy Practice Education</w:t>
                      </w:r>
                      <w:r w:rsidR="00341E2F" w:rsidRPr="00FB5475">
                        <w:rPr>
                          <w:sz w:val="22"/>
                          <w:szCs w:val="22"/>
                        </w:rPr>
                        <w:t xml:space="preserve"> </w:t>
                      </w:r>
                      <w:r w:rsidR="00341E2F" w:rsidRPr="00FB5475">
                        <w:rPr>
                          <w:b w:val="0"/>
                          <w:bCs w:val="0"/>
                          <w:sz w:val="22"/>
                          <w:szCs w:val="22"/>
                        </w:rPr>
                        <w:t xml:space="preserve">and </w:t>
                      </w:r>
                      <w:r w:rsidR="001269D6" w:rsidRPr="00FB5475">
                        <w:rPr>
                          <w:b w:val="0"/>
                          <w:bCs w:val="0"/>
                          <w:sz w:val="22"/>
                          <w:szCs w:val="22"/>
                        </w:rPr>
                        <w:t xml:space="preserve">we </w:t>
                      </w:r>
                      <w:r w:rsidR="00341E2F" w:rsidRPr="00FB5475">
                        <w:rPr>
                          <w:b w:val="0"/>
                          <w:bCs w:val="0"/>
                          <w:sz w:val="22"/>
                          <w:szCs w:val="22"/>
                        </w:rPr>
                        <w:t>ar</w:t>
                      </w:r>
                      <w:r w:rsidR="0052410D" w:rsidRPr="00FB5475">
                        <w:rPr>
                          <w:b w:val="0"/>
                          <w:bCs w:val="0"/>
                          <w:sz w:val="22"/>
                          <w:szCs w:val="22"/>
                        </w:rPr>
                        <w:t>e therefore progressing with application</w:t>
                      </w:r>
                      <w:r w:rsidR="001269D6" w:rsidRPr="00FB5475">
                        <w:rPr>
                          <w:b w:val="0"/>
                          <w:bCs w:val="0"/>
                          <w:sz w:val="22"/>
                          <w:szCs w:val="22"/>
                        </w:rPr>
                        <w:t>s</w:t>
                      </w:r>
                      <w:r w:rsidR="00C95AED" w:rsidRPr="00FB5475">
                        <w:rPr>
                          <w:b w:val="0"/>
                          <w:bCs w:val="0"/>
                          <w:sz w:val="22"/>
                          <w:szCs w:val="22"/>
                        </w:rPr>
                        <w:t>,</w:t>
                      </w:r>
                      <w:r w:rsidR="009D4078" w:rsidRPr="00FB5475">
                        <w:rPr>
                          <w:b w:val="0"/>
                          <w:bCs w:val="0"/>
                          <w:sz w:val="22"/>
                          <w:szCs w:val="22"/>
                        </w:rPr>
                        <w:t xml:space="preserve"> which will be reviewed and</w:t>
                      </w:r>
                      <w:r w:rsidR="00C95AED" w:rsidRPr="00FB5475">
                        <w:rPr>
                          <w:b w:val="0"/>
                          <w:bCs w:val="0"/>
                          <w:sz w:val="22"/>
                          <w:szCs w:val="22"/>
                        </w:rPr>
                        <w:t xml:space="preserve"> provisionally</w:t>
                      </w:r>
                      <w:r w:rsidR="009D4078" w:rsidRPr="00FB5475">
                        <w:rPr>
                          <w:b w:val="0"/>
                          <w:bCs w:val="0"/>
                          <w:sz w:val="22"/>
                          <w:szCs w:val="22"/>
                        </w:rPr>
                        <w:t xml:space="preserve"> approved subject to funding confirmation from the National Team</w:t>
                      </w:r>
                      <w:r w:rsidR="00C95AED" w:rsidRPr="00FB5475">
                        <w:rPr>
                          <w:b w:val="0"/>
                          <w:bCs w:val="0"/>
                          <w:sz w:val="22"/>
                          <w:szCs w:val="22"/>
                        </w:rPr>
                        <w:t xml:space="preserve">. </w:t>
                      </w:r>
                    </w:p>
                    <w:p w14:paraId="00D9CC46" w14:textId="4BE6BC60" w:rsidR="009D4078" w:rsidRPr="00FB5475" w:rsidRDefault="00C95AED" w:rsidP="009D4078">
                      <w:pPr>
                        <w:rPr>
                          <w:sz w:val="22"/>
                          <w:szCs w:val="22"/>
                        </w:rPr>
                      </w:pPr>
                      <w:r w:rsidRPr="00FB5475">
                        <w:rPr>
                          <w:sz w:val="22"/>
                          <w:szCs w:val="22"/>
                        </w:rPr>
                        <w:t xml:space="preserve">This document details the 2024/25 offer for </w:t>
                      </w:r>
                      <w:r w:rsidR="003F6A21" w:rsidRPr="00FB5475">
                        <w:rPr>
                          <w:rFonts w:cs="Arial"/>
                          <w:color w:val="1C1C1C"/>
                          <w:sz w:val="22"/>
                          <w:szCs w:val="22"/>
                          <w:lang w:val="en-US"/>
                        </w:rPr>
                        <w:t>Endoscopy Practice Education.</w:t>
                      </w:r>
                    </w:p>
                    <w:p w14:paraId="7D9D41C3" w14:textId="77777777" w:rsidR="0036112F" w:rsidRPr="00FB5475" w:rsidRDefault="0036112F" w:rsidP="0036112F">
                      <w:pPr>
                        <w:rPr>
                          <w:rFonts w:cs="Arial"/>
                          <w:sz w:val="22"/>
                          <w:szCs w:val="22"/>
                        </w:rPr>
                      </w:pPr>
                    </w:p>
                    <w:p w14:paraId="0C73BFB0" w14:textId="7ECE5C2F" w:rsidR="0036112F" w:rsidRPr="00FB5475" w:rsidRDefault="0036112F" w:rsidP="0036112F">
                      <w:pPr>
                        <w:rPr>
                          <w:rFonts w:cs="Arial"/>
                          <w:color w:val="1C1C1C"/>
                          <w:sz w:val="22"/>
                          <w:szCs w:val="22"/>
                        </w:rPr>
                      </w:pPr>
                      <w:r w:rsidRPr="00FB5475">
                        <w:rPr>
                          <w:rFonts w:cs="Arial"/>
                          <w:color w:val="1C1C1C"/>
                          <w:sz w:val="22"/>
                          <w:szCs w:val="22"/>
                          <w:lang w:val="en-US"/>
                        </w:rPr>
                        <w:t>The funding offer is designed to</w:t>
                      </w:r>
                      <w:r w:rsidR="003F6A21" w:rsidRPr="00FB5475">
                        <w:rPr>
                          <w:rFonts w:cs="Arial"/>
                          <w:color w:val="1C1C1C"/>
                          <w:sz w:val="22"/>
                          <w:szCs w:val="22"/>
                          <w:lang w:val="en-US"/>
                        </w:rPr>
                        <w:t xml:space="preserve"> support Trusts to provide salary and training opportunities for dedicated practice educators in endoscopy</w:t>
                      </w:r>
                      <w:r w:rsidR="00254C8A" w:rsidRPr="00FB5475">
                        <w:rPr>
                          <w:rFonts w:cs="Arial"/>
                          <w:b/>
                          <w:bCs/>
                          <w:color w:val="0070C0"/>
                          <w:sz w:val="22"/>
                          <w:szCs w:val="22"/>
                          <w:lang w:val="en-US"/>
                        </w:rPr>
                        <w:t>.</w:t>
                      </w:r>
                      <w:r w:rsidRPr="00FB5475">
                        <w:rPr>
                          <w:rFonts w:cs="Arial"/>
                          <w:color w:val="1C1C1C"/>
                          <w:sz w:val="22"/>
                          <w:szCs w:val="22"/>
                          <w:lang w:val="en-US"/>
                        </w:rPr>
                        <w:t xml:space="preserve"> </w:t>
                      </w:r>
                    </w:p>
                    <w:p w14:paraId="4F8D7583" w14:textId="77777777" w:rsidR="0036112F" w:rsidRPr="00FB5475" w:rsidRDefault="0036112F" w:rsidP="0036112F">
                      <w:pPr>
                        <w:rPr>
                          <w:rFonts w:cs="Arial"/>
                          <w:color w:val="1C1C1C"/>
                          <w:sz w:val="22"/>
                          <w:szCs w:val="22"/>
                        </w:rPr>
                      </w:pPr>
                    </w:p>
                    <w:p w14:paraId="65CDB18C" w14:textId="7AC8A870" w:rsidR="00627FAA" w:rsidRPr="00FB5475" w:rsidRDefault="00627FAA" w:rsidP="00627FAA">
                      <w:pPr>
                        <w:rPr>
                          <w:rFonts w:cs="Arial"/>
                          <w:color w:val="1C1C1C"/>
                          <w:sz w:val="22"/>
                          <w:szCs w:val="22"/>
                        </w:rPr>
                      </w:pPr>
                      <w:r w:rsidRPr="00FB5475">
                        <w:rPr>
                          <w:rFonts w:cs="Arial"/>
                          <w:color w:val="1C1C1C"/>
                          <w:sz w:val="22"/>
                          <w:szCs w:val="22"/>
                        </w:rPr>
                        <w:t>This funding is available to Endoscopy units in</w:t>
                      </w:r>
                      <w:r w:rsidR="00F03603" w:rsidRPr="00FB5475">
                        <w:rPr>
                          <w:rFonts w:cs="Arial"/>
                          <w:color w:val="1C1C1C"/>
                          <w:sz w:val="22"/>
                          <w:szCs w:val="22"/>
                        </w:rPr>
                        <w:t xml:space="preserve"> NHS Trusts and CDCs within</w:t>
                      </w:r>
                      <w:r w:rsidRPr="00FB5475">
                        <w:rPr>
                          <w:rFonts w:cs="Arial"/>
                          <w:color w:val="1C1C1C"/>
                          <w:sz w:val="22"/>
                          <w:szCs w:val="22"/>
                        </w:rPr>
                        <w:t xml:space="preserve"> South East Integrated Care Systems (ICSs) Kent &amp; Medway, Sussex, Surrey Heartlands, Frimley, Buckinghamshire, Oxfordshire &amp; Berkshire West and Hampshire &amp; Isle of Wight. </w:t>
                      </w:r>
                      <w:r w:rsidR="00FB71F8" w:rsidRPr="00E76535">
                        <w:rPr>
                          <w:rFonts w:cs="Arial"/>
                          <w:color w:val="1C1C1C"/>
                          <w:sz w:val="22"/>
                          <w:szCs w:val="22"/>
                        </w:rPr>
                        <w:t xml:space="preserve">Salary </w:t>
                      </w:r>
                      <w:r w:rsidR="008A0A4E" w:rsidRPr="00E76535">
                        <w:rPr>
                          <w:rFonts w:cs="Arial"/>
                          <w:color w:val="1C1C1C"/>
                          <w:sz w:val="22"/>
                          <w:szCs w:val="22"/>
                        </w:rPr>
                        <w:t>funding should not be used for practice educators in endoscopy who are</w:t>
                      </w:r>
                      <w:r w:rsidR="00E37347" w:rsidRPr="00E76535">
                        <w:rPr>
                          <w:rFonts w:cs="Arial"/>
                          <w:color w:val="1C1C1C"/>
                          <w:sz w:val="22"/>
                          <w:szCs w:val="22"/>
                        </w:rPr>
                        <w:t xml:space="preserve"> already </w:t>
                      </w:r>
                      <w:r w:rsidR="003A2102" w:rsidRPr="00E76535">
                        <w:rPr>
                          <w:rFonts w:cs="Arial"/>
                          <w:color w:val="1C1C1C"/>
                          <w:sz w:val="22"/>
                          <w:szCs w:val="22"/>
                        </w:rPr>
                        <w:t xml:space="preserve">in posts </w:t>
                      </w:r>
                      <w:r w:rsidR="008A0A4E" w:rsidRPr="00E76535">
                        <w:rPr>
                          <w:rFonts w:cs="Arial"/>
                          <w:color w:val="1C1C1C"/>
                          <w:sz w:val="22"/>
                          <w:szCs w:val="22"/>
                        </w:rPr>
                        <w:t xml:space="preserve">funded </w:t>
                      </w:r>
                      <w:r w:rsidR="00FB71F8" w:rsidRPr="00E76535">
                        <w:rPr>
                          <w:rFonts w:cs="Arial"/>
                          <w:color w:val="1C1C1C"/>
                          <w:sz w:val="22"/>
                          <w:szCs w:val="22"/>
                        </w:rPr>
                        <w:t xml:space="preserve">by </w:t>
                      </w:r>
                      <w:r w:rsidR="003A2102" w:rsidRPr="00E76535">
                        <w:rPr>
                          <w:rFonts w:cs="Arial"/>
                          <w:color w:val="1C1C1C"/>
                          <w:sz w:val="22"/>
                          <w:szCs w:val="22"/>
                        </w:rPr>
                        <w:t xml:space="preserve">their employing </w:t>
                      </w:r>
                      <w:r w:rsidR="00FB71F8" w:rsidRPr="00E76535">
                        <w:rPr>
                          <w:rFonts w:cs="Arial"/>
                          <w:color w:val="1C1C1C"/>
                          <w:sz w:val="22"/>
                          <w:szCs w:val="22"/>
                        </w:rPr>
                        <w:t>Trust</w:t>
                      </w:r>
                      <w:r w:rsidR="00F84FF3" w:rsidRPr="00FB5475">
                        <w:rPr>
                          <w:rFonts w:cs="Arial"/>
                          <w:color w:val="1C1C1C"/>
                          <w:sz w:val="22"/>
                          <w:szCs w:val="22"/>
                        </w:rPr>
                        <w:t xml:space="preserve">. Trusts with established practice educators should consider </w:t>
                      </w:r>
                      <w:r w:rsidR="009E3279" w:rsidRPr="00FB5475">
                        <w:rPr>
                          <w:rFonts w:cs="Arial"/>
                          <w:color w:val="1C1C1C"/>
                          <w:sz w:val="22"/>
                          <w:szCs w:val="22"/>
                        </w:rPr>
                        <w:t>how this funding could be used for training opportunities for their practice educators.</w:t>
                      </w:r>
                    </w:p>
                    <w:p w14:paraId="1C588DE7" w14:textId="77777777" w:rsidR="009E3279" w:rsidRPr="00FB5475" w:rsidRDefault="009E3279" w:rsidP="00627FAA">
                      <w:pPr>
                        <w:rPr>
                          <w:rFonts w:cs="Arial"/>
                          <w:b/>
                          <w:bCs/>
                          <w:color w:val="1C1C1C"/>
                          <w:sz w:val="22"/>
                          <w:szCs w:val="22"/>
                        </w:rPr>
                      </w:pPr>
                    </w:p>
                    <w:p w14:paraId="1F21230D" w14:textId="14326F32" w:rsidR="00627FAA" w:rsidRPr="00FB5475" w:rsidRDefault="00096E12" w:rsidP="00627FAA">
                      <w:pPr>
                        <w:rPr>
                          <w:rFonts w:cs="Arial"/>
                          <w:b/>
                          <w:bCs/>
                          <w:color w:val="1C1C1C"/>
                          <w:sz w:val="22"/>
                          <w:szCs w:val="22"/>
                        </w:rPr>
                      </w:pPr>
                      <w:r w:rsidRPr="00FB5475">
                        <w:rPr>
                          <w:rFonts w:cs="Arial"/>
                          <w:b/>
                          <w:bCs/>
                          <w:color w:val="1C1C1C"/>
                          <w:sz w:val="22"/>
                          <w:szCs w:val="22"/>
                        </w:rPr>
                        <w:t>F</w:t>
                      </w:r>
                      <w:r w:rsidR="00627FAA" w:rsidRPr="00FB5475">
                        <w:rPr>
                          <w:rFonts w:cs="Arial"/>
                          <w:b/>
                          <w:bCs/>
                          <w:color w:val="1C1C1C"/>
                          <w:sz w:val="22"/>
                          <w:szCs w:val="22"/>
                        </w:rPr>
                        <w:t>unding c</w:t>
                      </w:r>
                      <w:r w:rsidR="00106F8B" w:rsidRPr="00FB5475">
                        <w:rPr>
                          <w:rFonts w:cs="Arial"/>
                          <w:b/>
                          <w:bCs/>
                          <w:color w:val="1C1C1C"/>
                          <w:sz w:val="22"/>
                          <w:szCs w:val="22"/>
                        </w:rPr>
                        <w:t>ould</w:t>
                      </w:r>
                      <w:r w:rsidR="00627FAA" w:rsidRPr="00FB5475">
                        <w:rPr>
                          <w:rFonts w:cs="Arial"/>
                          <w:b/>
                          <w:bCs/>
                          <w:color w:val="1C1C1C"/>
                          <w:sz w:val="22"/>
                          <w:szCs w:val="22"/>
                        </w:rPr>
                        <w:t xml:space="preserve"> be used to</w:t>
                      </w:r>
                      <w:r w:rsidR="00106F8B" w:rsidRPr="00FB5475">
                        <w:rPr>
                          <w:rFonts w:cs="Arial"/>
                          <w:b/>
                          <w:bCs/>
                          <w:color w:val="1C1C1C"/>
                          <w:sz w:val="22"/>
                          <w:szCs w:val="22"/>
                        </w:rPr>
                        <w:t xml:space="preserve"> support</w:t>
                      </w:r>
                      <w:r w:rsidR="00627FAA" w:rsidRPr="00FB5475">
                        <w:rPr>
                          <w:rFonts w:cs="Arial"/>
                          <w:b/>
                          <w:bCs/>
                          <w:color w:val="1C1C1C"/>
                          <w:sz w:val="22"/>
                          <w:szCs w:val="22"/>
                        </w:rPr>
                        <w:t>:</w:t>
                      </w:r>
                    </w:p>
                    <w:p w14:paraId="554A5F5F" w14:textId="4A6EE585" w:rsidR="00627FAA" w:rsidRPr="00FB5475" w:rsidRDefault="00106F8B" w:rsidP="00627FAA">
                      <w:pPr>
                        <w:pStyle w:val="ListParagraph"/>
                        <w:numPr>
                          <w:ilvl w:val="0"/>
                          <w:numId w:val="14"/>
                        </w:numPr>
                        <w:rPr>
                          <w:rFonts w:cs="Arial"/>
                          <w:color w:val="1C1C1C"/>
                          <w:sz w:val="22"/>
                          <w:szCs w:val="22"/>
                        </w:rPr>
                      </w:pPr>
                      <w:r w:rsidRPr="00614258">
                        <w:rPr>
                          <w:rFonts w:cs="Arial"/>
                          <w:color w:val="1C1C1C"/>
                          <w:sz w:val="22"/>
                          <w:szCs w:val="22"/>
                        </w:rPr>
                        <w:t>S</w:t>
                      </w:r>
                      <w:r w:rsidR="00096E12" w:rsidRPr="00614258">
                        <w:rPr>
                          <w:rFonts w:cs="Arial"/>
                          <w:color w:val="1C1C1C"/>
                          <w:sz w:val="22"/>
                          <w:szCs w:val="22"/>
                        </w:rPr>
                        <w:t xml:space="preserve">alary </w:t>
                      </w:r>
                      <w:r w:rsidR="00096E12" w:rsidRPr="00FB5475">
                        <w:rPr>
                          <w:rFonts w:cs="Arial"/>
                          <w:color w:val="1C1C1C"/>
                          <w:sz w:val="22"/>
                          <w:szCs w:val="22"/>
                        </w:rPr>
                        <w:t>for an existing endoscopy practice educator</w:t>
                      </w:r>
                      <w:r w:rsidR="00F45CB4" w:rsidRPr="00FB5475">
                        <w:rPr>
                          <w:rFonts w:cs="Arial"/>
                          <w:color w:val="1C1C1C"/>
                          <w:sz w:val="22"/>
                          <w:szCs w:val="22"/>
                        </w:rPr>
                        <w:t xml:space="preserve"> for 1 day a week</w:t>
                      </w:r>
                      <w:r w:rsidR="00D73B60" w:rsidRPr="00FB5475">
                        <w:rPr>
                          <w:rFonts w:cs="Arial"/>
                          <w:color w:val="1C1C1C"/>
                          <w:sz w:val="22"/>
                          <w:szCs w:val="22"/>
                        </w:rPr>
                        <w:t xml:space="preserve"> (where</w:t>
                      </w:r>
                      <w:r w:rsidR="009E3279" w:rsidRPr="00FB5475">
                        <w:rPr>
                          <w:rFonts w:cs="Arial"/>
                          <w:color w:val="1C1C1C"/>
                          <w:sz w:val="22"/>
                          <w:szCs w:val="22"/>
                        </w:rPr>
                        <w:t xml:space="preserve"> practice educator</w:t>
                      </w:r>
                      <w:r w:rsidR="00D73B60" w:rsidRPr="00FB5475">
                        <w:rPr>
                          <w:rFonts w:cs="Arial"/>
                          <w:color w:val="1C1C1C"/>
                          <w:sz w:val="22"/>
                          <w:szCs w:val="22"/>
                        </w:rPr>
                        <w:t xml:space="preserve"> </w:t>
                      </w:r>
                      <w:r w:rsidR="008A0A4E" w:rsidRPr="00FB5475">
                        <w:rPr>
                          <w:rFonts w:cs="Arial"/>
                          <w:color w:val="1C1C1C"/>
                          <w:sz w:val="22"/>
                          <w:szCs w:val="22"/>
                        </w:rPr>
                        <w:t xml:space="preserve">salary is not </w:t>
                      </w:r>
                      <w:r w:rsidR="009E3279" w:rsidRPr="00FB5475">
                        <w:rPr>
                          <w:rFonts w:cs="Arial"/>
                          <w:color w:val="1C1C1C"/>
                          <w:sz w:val="22"/>
                          <w:szCs w:val="22"/>
                        </w:rPr>
                        <w:t xml:space="preserve">part of the </w:t>
                      </w:r>
                      <w:r w:rsidR="00F230D6" w:rsidRPr="00FB5475">
                        <w:rPr>
                          <w:rFonts w:cs="Arial"/>
                          <w:color w:val="1C1C1C"/>
                          <w:sz w:val="22"/>
                          <w:szCs w:val="22"/>
                        </w:rPr>
                        <w:t>current establishment</w:t>
                      </w:r>
                      <w:r w:rsidR="008A0A4E" w:rsidRPr="00FB5475">
                        <w:rPr>
                          <w:rFonts w:cs="Arial"/>
                          <w:color w:val="1C1C1C"/>
                          <w:sz w:val="22"/>
                          <w:szCs w:val="22"/>
                        </w:rPr>
                        <w:t>)</w:t>
                      </w:r>
                    </w:p>
                    <w:p w14:paraId="0D2E2763" w14:textId="3584FBD5" w:rsidR="0067641F" w:rsidRPr="00FB5475" w:rsidRDefault="00106F8B" w:rsidP="0067641F">
                      <w:pPr>
                        <w:pStyle w:val="ListParagraph"/>
                        <w:numPr>
                          <w:ilvl w:val="0"/>
                          <w:numId w:val="14"/>
                        </w:numPr>
                        <w:rPr>
                          <w:rFonts w:cs="Arial"/>
                          <w:color w:val="1C1C1C"/>
                          <w:sz w:val="22"/>
                          <w:szCs w:val="22"/>
                        </w:rPr>
                      </w:pPr>
                      <w:r w:rsidRPr="00614258">
                        <w:rPr>
                          <w:rFonts w:cs="Arial"/>
                          <w:color w:val="1C1C1C"/>
                          <w:sz w:val="22"/>
                          <w:szCs w:val="22"/>
                        </w:rPr>
                        <w:t>S</w:t>
                      </w:r>
                      <w:r w:rsidR="00866981" w:rsidRPr="00614258">
                        <w:rPr>
                          <w:rFonts w:cs="Arial"/>
                          <w:color w:val="1C1C1C"/>
                          <w:sz w:val="22"/>
                          <w:szCs w:val="22"/>
                        </w:rPr>
                        <w:t xml:space="preserve">alary </w:t>
                      </w:r>
                      <w:r w:rsidR="00866981" w:rsidRPr="00FB5475">
                        <w:rPr>
                          <w:rFonts w:cs="Arial"/>
                          <w:color w:val="1C1C1C"/>
                          <w:sz w:val="22"/>
                          <w:szCs w:val="22"/>
                        </w:rPr>
                        <w:t>for a new</w:t>
                      </w:r>
                      <w:r w:rsidR="00AB533C" w:rsidRPr="00FB5475">
                        <w:rPr>
                          <w:rFonts w:cs="Arial"/>
                          <w:color w:val="1C1C1C"/>
                          <w:sz w:val="22"/>
                          <w:szCs w:val="22"/>
                        </w:rPr>
                        <w:t>, named</w:t>
                      </w:r>
                      <w:r w:rsidR="00866981" w:rsidRPr="00FB5475">
                        <w:rPr>
                          <w:rFonts w:cs="Arial"/>
                          <w:color w:val="1C1C1C"/>
                          <w:sz w:val="22"/>
                          <w:szCs w:val="22"/>
                        </w:rPr>
                        <w:t xml:space="preserve"> endoscopy practice educator</w:t>
                      </w:r>
                      <w:r w:rsidR="00F45CB4" w:rsidRPr="00FB5475">
                        <w:rPr>
                          <w:rFonts w:cs="Arial"/>
                          <w:color w:val="1C1C1C"/>
                          <w:sz w:val="22"/>
                          <w:szCs w:val="22"/>
                        </w:rPr>
                        <w:t xml:space="preserve"> for 1 day a week</w:t>
                      </w:r>
                    </w:p>
                    <w:p w14:paraId="59BB9AAA" w14:textId="64EF050B" w:rsidR="0061221F" w:rsidRPr="00FB5475" w:rsidRDefault="00106F8B" w:rsidP="0067641F">
                      <w:pPr>
                        <w:pStyle w:val="ListParagraph"/>
                        <w:numPr>
                          <w:ilvl w:val="0"/>
                          <w:numId w:val="14"/>
                        </w:numPr>
                        <w:rPr>
                          <w:rFonts w:cs="Arial"/>
                          <w:color w:val="1C1C1C"/>
                          <w:sz w:val="22"/>
                          <w:szCs w:val="22"/>
                        </w:rPr>
                      </w:pPr>
                      <w:r w:rsidRPr="00614258">
                        <w:rPr>
                          <w:rFonts w:cs="Arial"/>
                          <w:color w:val="1C1C1C"/>
                          <w:sz w:val="22"/>
                          <w:szCs w:val="22"/>
                        </w:rPr>
                        <w:t>C</w:t>
                      </w:r>
                      <w:r w:rsidR="00627FAA" w:rsidRPr="00614258">
                        <w:rPr>
                          <w:rFonts w:cs="Arial"/>
                          <w:color w:val="1C1C1C"/>
                          <w:sz w:val="22"/>
                          <w:szCs w:val="22"/>
                        </w:rPr>
                        <w:t>ourse</w:t>
                      </w:r>
                      <w:r w:rsidR="00096E12" w:rsidRPr="00614258">
                        <w:rPr>
                          <w:rFonts w:cs="Arial"/>
                          <w:color w:val="1C1C1C"/>
                          <w:sz w:val="22"/>
                          <w:szCs w:val="22"/>
                        </w:rPr>
                        <w:t>/academic module fees</w:t>
                      </w:r>
                      <w:r w:rsidR="00096E12" w:rsidRPr="00FB5475">
                        <w:rPr>
                          <w:rFonts w:cs="Arial"/>
                          <w:b/>
                          <w:bCs/>
                          <w:color w:val="1C1C1C"/>
                          <w:sz w:val="22"/>
                          <w:szCs w:val="22"/>
                        </w:rPr>
                        <w:t xml:space="preserve"> </w:t>
                      </w:r>
                      <w:r w:rsidR="00096E12" w:rsidRPr="00FB5475">
                        <w:rPr>
                          <w:rFonts w:cs="Arial"/>
                          <w:color w:val="1C1C1C"/>
                          <w:sz w:val="22"/>
                          <w:szCs w:val="22"/>
                        </w:rPr>
                        <w:t xml:space="preserve">for an endoscopy practice educator to </w:t>
                      </w:r>
                      <w:r w:rsidR="00866981" w:rsidRPr="00FB5475">
                        <w:rPr>
                          <w:rFonts w:cs="Arial"/>
                          <w:color w:val="1C1C1C"/>
                          <w:sz w:val="22"/>
                          <w:szCs w:val="22"/>
                        </w:rPr>
                        <w:t>upskill them in practice education</w:t>
                      </w:r>
                    </w:p>
                    <w:p w14:paraId="2E41BE40" w14:textId="6766F8EA" w:rsidR="0036112F" w:rsidRPr="00FB5475" w:rsidRDefault="0036112F" w:rsidP="00752F86">
                      <w:pPr>
                        <w:rPr>
                          <w:rFonts w:cs="Arial"/>
                          <w:i/>
                          <w:iCs/>
                          <w:color w:val="1C1C1C"/>
                          <w:sz w:val="22"/>
                          <w:szCs w:val="22"/>
                        </w:rPr>
                      </w:pPr>
                    </w:p>
                    <w:p w14:paraId="2B2C767E" w14:textId="77777777" w:rsidR="0036112F" w:rsidRPr="00FB5475" w:rsidRDefault="0036112F" w:rsidP="0036112F">
                      <w:pPr>
                        <w:rPr>
                          <w:rFonts w:cs="Arial"/>
                          <w:b/>
                          <w:bCs/>
                          <w:color w:val="1C1C1C"/>
                          <w:sz w:val="22"/>
                          <w:szCs w:val="22"/>
                        </w:rPr>
                      </w:pPr>
                      <w:r w:rsidRPr="00FB5475">
                        <w:rPr>
                          <w:rFonts w:cs="Arial"/>
                          <w:b/>
                          <w:bCs/>
                          <w:color w:val="1C1C1C"/>
                          <w:sz w:val="22"/>
                          <w:szCs w:val="22"/>
                        </w:rPr>
                        <w:t>Deadline for funding applications</w:t>
                      </w:r>
                    </w:p>
                    <w:p w14:paraId="63CA800F" w14:textId="6A0057C8" w:rsidR="0036112F" w:rsidRPr="00FB5475" w:rsidRDefault="00034451" w:rsidP="0036112F">
                      <w:pPr>
                        <w:pStyle w:val="ListParagraph"/>
                        <w:numPr>
                          <w:ilvl w:val="0"/>
                          <w:numId w:val="2"/>
                        </w:numPr>
                        <w:rPr>
                          <w:rFonts w:cs="Arial"/>
                          <w:color w:val="1C1C1C"/>
                          <w:sz w:val="22"/>
                          <w:szCs w:val="22"/>
                        </w:rPr>
                      </w:pPr>
                      <w:r w:rsidRPr="00FB5475">
                        <w:rPr>
                          <w:rFonts w:cs="Arial"/>
                          <w:b/>
                          <w:bCs/>
                          <w:color w:val="FF0000"/>
                          <w:sz w:val="22"/>
                          <w:szCs w:val="22"/>
                        </w:rPr>
                        <w:t xml:space="preserve">The application window will open </w:t>
                      </w:r>
                      <w:r w:rsidR="00F267C7">
                        <w:rPr>
                          <w:rFonts w:cs="Arial"/>
                          <w:b/>
                          <w:bCs/>
                          <w:color w:val="FF0000"/>
                          <w:sz w:val="22"/>
                          <w:szCs w:val="22"/>
                        </w:rPr>
                        <w:t>in early</w:t>
                      </w:r>
                      <w:r w:rsidRPr="00FB5475">
                        <w:rPr>
                          <w:rFonts w:cs="Arial"/>
                          <w:b/>
                          <w:bCs/>
                          <w:color w:val="FF0000"/>
                          <w:sz w:val="22"/>
                          <w:szCs w:val="22"/>
                        </w:rPr>
                        <w:t xml:space="preserve"> March and will close at 9am</w:t>
                      </w:r>
                      <w:r w:rsidR="0036112F" w:rsidRPr="00FB5475">
                        <w:rPr>
                          <w:rFonts w:cs="Arial"/>
                          <w:b/>
                          <w:bCs/>
                          <w:color w:val="FF0000"/>
                          <w:sz w:val="22"/>
                          <w:szCs w:val="22"/>
                        </w:rPr>
                        <w:t xml:space="preserve"> on </w:t>
                      </w:r>
                      <w:r w:rsidR="007071B9" w:rsidRPr="00FB5475">
                        <w:rPr>
                          <w:rFonts w:cs="Arial"/>
                          <w:b/>
                          <w:bCs/>
                          <w:color w:val="FF0000"/>
                          <w:sz w:val="22"/>
                          <w:szCs w:val="22"/>
                        </w:rPr>
                        <w:t>Tuesday 2 April</w:t>
                      </w:r>
                      <w:r w:rsidR="00DF6194" w:rsidRPr="00FB5475">
                        <w:rPr>
                          <w:rFonts w:cs="Arial"/>
                          <w:b/>
                          <w:bCs/>
                          <w:color w:val="FF0000"/>
                          <w:sz w:val="22"/>
                          <w:szCs w:val="22"/>
                        </w:rPr>
                        <w:t xml:space="preserve"> 2024</w:t>
                      </w:r>
                      <w:r w:rsidR="0036112F" w:rsidRPr="00FB5475">
                        <w:rPr>
                          <w:rFonts w:cs="Arial"/>
                          <w:color w:val="FF0000"/>
                          <w:sz w:val="22"/>
                          <w:szCs w:val="22"/>
                        </w:rPr>
                        <w:t xml:space="preserve"> </w:t>
                      </w:r>
                      <w:r w:rsidR="0036112F" w:rsidRPr="00FB5475">
                        <w:rPr>
                          <w:rFonts w:cs="Arial"/>
                          <w:color w:val="1C1C1C"/>
                          <w:sz w:val="22"/>
                          <w:szCs w:val="22"/>
                        </w:rPr>
                        <w:t xml:space="preserve">to support funding being transferred in </w:t>
                      </w:r>
                      <w:r w:rsidR="00DF6194" w:rsidRPr="00FB5475">
                        <w:rPr>
                          <w:rFonts w:cs="Arial"/>
                          <w:color w:val="1C1C1C"/>
                          <w:sz w:val="22"/>
                          <w:szCs w:val="22"/>
                        </w:rPr>
                        <w:t>June</w:t>
                      </w:r>
                      <w:r w:rsidR="0036112F" w:rsidRPr="00FB5475">
                        <w:rPr>
                          <w:rFonts w:cs="Arial"/>
                          <w:color w:val="1C1C1C"/>
                          <w:sz w:val="22"/>
                          <w:szCs w:val="22"/>
                        </w:rPr>
                        <w:t xml:space="preserve"> </w:t>
                      </w:r>
                      <w:r w:rsidR="00DF6194" w:rsidRPr="00FB5475">
                        <w:rPr>
                          <w:rFonts w:cs="Arial"/>
                          <w:color w:val="1C1C1C"/>
                          <w:sz w:val="22"/>
                          <w:szCs w:val="22"/>
                        </w:rPr>
                        <w:t>2024</w:t>
                      </w:r>
                      <w:r w:rsidRPr="00FB5475">
                        <w:rPr>
                          <w:rFonts w:cs="Arial"/>
                          <w:color w:val="1C1C1C"/>
                          <w:sz w:val="22"/>
                          <w:szCs w:val="22"/>
                        </w:rPr>
                        <w:t xml:space="preserve"> via the NHSE Education Contract </w:t>
                      </w:r>
                      <w:r w:rsidR="001C6231" w:rsidRPr="00FB5475">
                        <w:rPr>
                          <w:rFonts w:cs="Arial"/>
                          <w:color w:val="1C1C1C"/>
                          <w:sz w:val="22"/>
                          <w:szCs w:val="22"/>
                        </w:rPr>
                        <w:t xml:space="preserve">schedule where possible. </w:t>
                      </w:r>
                    </w:p>
                    <w:p w14:paraId="27DE1F74" w14:textId="77777777" w:rsidR="00C2185C" w:rsidRPr="00FB5475" w:rsidRDefault="00805DEA" w:rsidP="00EB6B13">
                      <w:pPr>
                        <w:pStyle w:val="ListParagraph"/>
                        <w:numPr>
                          <w:ilvl w:val="0"/>
                          <w:numId w:val="2"/>
                        </w:numPr>
                        <w:rPr>
                          <w:rFonts w:cs="Arial"/>
                          <w:color w:val="1C1C1C"/>
                          <w:sz w:val="22"/>
                          <w:szCs w:val="22"/>
                        </w:rPr>
                      </w:pPr>
                      <w:r w:rsidRPr="00FB5475">
                        <w:rPr>
                          <w:rFonts w:cs="Arial"/>
                          <w:color w:val="1C1C1C"/>
                          <w:sz w:val="22"/>
                          <w:szCs w:val="22"/>
                        </w:rPr>
                        <w:t>It is possible that a second application round will run later in the year</w:t>
                      </w:r>
                      <w:r w:rsidR="00FB67F7" w:rsidRPr="00FB5475">
                        <w:rPr>
                          <w:rFonts w:cs="Arial"/>
                          <w:color w:val="1C1C1C"/>
                          <w:sz w:val="22"/>
                          <w:szCs w:val="22"/>
                        </w:rPr>
                        <w:t>, subject to available funding</w:t>
                      </w:r>
                      <w:r w:rsidR="00C2185C" w:rsidRPr="00FB5475">
                        <w:rPr>
                          <w:rFonts w:cs="Arial"/>
                          <w:color w:val="1C1C1C"/>
                          <w:sz w:val="22"/>
                          <w:szCs w:val="22"/>
                        </w:rPr>
                        <w:t xml:space="preserve"> but at this stage we aren’t able to confirm this. </w:t>
                      </w:r>
                    </w:p>
                    <w:p w14:paraId="593AF005" w14:textId="77777777" w:rsidR="0024068B" w:rsidRPr="00FB5475" w:rsidRDefault="0024068B" w:rsidP="0024068B">
                      <w:pPr>
                        <w:pStyle w:val="ListParagraph"/>
                        <w:rPr>
                          <w:rFonts w:cs="Arial"/>
                          <w:color w:val="1C1C1C"/>
                          <w:sz w:val="22"/>
                          <w:szCs w:val="22"/>
                        </w:rPr>
                      </w:pPr>
                    </w:p>
                    <w:p w14:paraId="24E50E86" w14:textId="620923F9" w:rsidR="0036112F" w:rsidRPr="00FB5475" w:rsidRDefault="0036112F" w:rsidP="00FB5475">
                      <w:pPr>
                        <w:rPr>
                          <w:rFonts w:cs="Arial"/>
                          <w:color w:val="1C1C1C"/>
                          <w:sz w:val="22"/>
                          <w:szCs w:val="22"/>
                        </w:rPr>
                      </w:pPr>
                      <w:r w:rsidRPr="00FB5475">
                        <w:rPr>
                          <w:rFonts w:cs="Arial"/>
                          <w:color w:val="1C1C1C"/>
                          <w:sz w:val="22"/>
                          <w:szCs w:val="22"/>
                        </w:rPr>
                        <w:t xml:space="preserve">Funding is required to be spent </w:t>
                      </w:r>
                      <w:r w:rsidR="00F05D49" w:rsidRPr="00FB5475">
                        <w:rPr>
                          <w:rFonts w:cs="Arial"/>
                          <w:color w:val="1C1C1C"/>
                          <w:sz w:val="22"/>
                          <w:szCs w:val="22"/>
                        </w:rPr>
                        <w:t xml:space="preserve">and fully utilised </w:t>
                      </w:r>
                      <w:r w:rsidRPr="00FB5475">
                        <w:rPr>
                          <w:rFonts w:cs="Arial"/>
                          <w:color w:val="1C1C1C"/>
                          <w:sz w:val="22"/>
                          <w:szCs w:val="22"/>
                        </w:rPr>
                        <w:t xml:space="preserve">by 31 March </w:t>
                      </w:r>
                      <w:r w:rsidR="00DF6194" w:rsidRPr="00FB5475">
                        <w:rPr>
                          <w:rFonts w:cs="Arial"/>
                          <w:color w:val="1C1C1C"/>
                          <w:sz w:val="22"/>
                          <w:szCs w:val="22"/>
                        </w:rPr>
                        <w:t>2025</w:t>
                      </w:r>
                      <w:r w:rsidRPr="00FB5475">
                        <w:rPr>
                          <w:rFonts w:cs="Arial"/>
                          <w:color w:val="1C1C1C"/>
                          <w:sz w:val="22"/>
                          <w:szCs w:val="22"/>
                        </w:rPr>
                        <w:t xml:space="preserve">, and chosen courses and formal education must start before 31 March </w:t>
                      </w:r>
                      <w:r w:rsidR="00DF6194" w:rsidRPr="00FB5475">
                        <w:rPr>
                          <w:rFonts w:cs="Arial"/>
                          <w:color w:val="1C1C1C"/>
                          <w:sz w:val="22"/>
                          <w:szCs w:val="22"/>
                        </w:rPr>
                        <w:t>2025</w:t>
                      </w:r>
                      <w:r w:rsidRPr="00FB5475">
                        <w:rPr>
                          <w:rFonts w:cs="Arial"/>
                          <w:color w:val="1C1C1C"/>
                          <w:sz w:val="22"/>
                          <w:szCs w:val="22"/>
                        </w:rPr>
                        <w:t>, where applicable.</w:t>
                      </w:r>
                    </w:p>
                    <w:p w14:paraId="783BB8D0" w14:textId="77777777" w:rsidR="00F03603" w:rsidRPr="00FB5475" w:rsidRDefault="00F03603" w:rsidP="0036112F">
                      <w:pPr>
                        <w:rPr>
                          <w:rFonts w:cs="Arial"/>
                          <w:color w:val="1C1C1C"/>
                          <w:sz w:val="22"/>
                          <w:szCs w:val="22"/>
                        </w:rPr>
                      </w:pPr>
                    </w:p>
                    <w:p w14:paraId="65750B47" w14:textId="4DC87450" w:rsidR="001249DA" w:rsidRPr="00FB5475" w:rsidRDefault="001249DA" w:rsidP="0036112F">
                      <w:pPr>
                        <w:rPr>
                          <w:rFonts w:cs="Arial"/>
                          <w:color w:val="1C1C1C"/>
                          <w:sz w:val="22"/>
                          <w:szCs w:val="22"/>
                        </w:rPr>
                      </w:pPr>
                      <w:r w:rsidRPr="00FB5475">
                        <w:rPr>
                          <w:rFonts w:cs="Arial"/>
                          <w:color w:val="1C1C1C"/>
                          <w:sz w:val="22"/>
                          <w:szCs w:val="22"/>
                          <w:lang w:val="en-US"/>
                        </w:rPr>
                        <w:t xml:space="preserve">Please submit applications using this link: </w:t>
                      </w:r>
                      <w:hyperlink r:id="rId13" w:history="1">
                        <w:r w:rsidR="00D97D16">
                          <w:rPr>
                            <w:rStyle w:val="Hyperlink"/>
                            <w:rFonts w:cs="Arial"/>
                            <w:sz w:val="22"/>
                            <w:szCs w:val="22"/>
                            <w:lang w:val="en-US"/>
                          </w:rPr>
                          <w:t>Endoscopy Practice Education application form</w:t>
                        </w:r>
                      </w:hyperlink>
                      <w:r w:rsidR="00D97D16">
                        <w:rPr>
                          <w:rFonts w:cs="Arial"/>
                          <w:color w:val="1C1C1C"/>
                          <w:sz w:val="22"/>
                          <w:szCs w:val="22"/>
                          <w:lang w:val="en-US"/>
                        </w:rPr>
                        <w:t xml:space="preserve"> </w:t>
                      </w:r>
                    </w:p>
                    <w:p w14:paraId="026B020D" w14:textId="77777777" w:rsidR="0036112F" w:rsidRPr="00FB5475" w:rsidRDefault="0036112F" w:rsidP="0036112F">
                      <w:pPr>
                        <w:rPr>
                          <w:rFonts w:cs="Arial"/>
                          <w:color w:val="1C1C1C"/>
                          <w:sz w:val="22"/>
                          <w:szCs w:val="22"/>
                        </w:rPr>
                      </w:pPr>
                    </w:p>
                    <w:p w14:paraId="5E3A5841" w14:textId="4A28FCA4" w:rsidR="0036112F" w:rsidRPr="00FB5475" w:rsidRDefault="0036112F" w:rsidP="0036112F">
                      <w:pPr>
                        <w:rPr>
                          <w:rFonts w:cs="Arial"/>
                          <w:color w:val="1C1C1C"/>
                          <w:sz w:val="22"/>
                          <w:szCs w:val="22"/>
                        </w:rPr>
                      </w:pPr>
                      <w:r w:rsidRPr="00FB5475">
                        <w:rPr>
                          <w:rFonts w:cs="Arial"/>
                          <w:color w:val="1C1C1C"/>
                          <w:sz w:val="22"/>
                          <w:szCs w:val="22"/>
                        </w:rPr>
                        <w:t>For any queries please em</w:t>
                      </w:r>
                      <w:r w:rsidR="006B33C5" w:rsidRPr="00FB5475">
                        <w:rPr>
                          <w:rFonts w:cs="Arial"/>
                          <w:color w:val="1C1C1C"/>
                          <w:sz w:val="22"/>
                          <w:szCs w:val="22"/>
                        </w:rPr>
                        <w:t xml:space="preserve">ail: </w:t>
                      </w:r>
                      <w:hyperlink r:id="rId14" w:history="1">
                        <w:r w:rsidR="006B33C5" w:rsidRPr="00FB5475">
                          <w:rPr>
                            <w:rStyle w:val="Hyperlink"/>
                            <w:rFonts w:cs="Arial"/>
                            <w:sz w:val="22"/>
                            <w:szCs w:val="22"/>
                          </w:rPr>
                          <w:t>england.canceranddiagnostics.se@nhs.net</w:t>
                        </w:r>
                      </w:hyperlink>
                    </w:p>
                    <w:p w14:paraId="36FFAF9B" w14:textId="77777777" w:rsidR="006B33C5" w:rsidRPr="001249DA" w:rsidRDefault="006B33C5" w:rsidP="0036112F">
                      <w:pPr>
                        <w:rPr>
                          <w:rFonts w:cs="Arial"/>
                          <w:sz w:val="20"/>
                          <w:szCs w:val="20"/>
                        </w:rPr>
                      </w:pPr>
                    </w:p>
                  </w:txbxContent>
                </v:textbox>
                <w10:wrap type="square" anchorx="margin"/>
              </v:shape>
            </w:pict>
          </mc:Fallback>
        </mc:AlternateContent>
      </w:r>
      <w:r w:rsidR="0036112F" w:rsidRPr="004B3B37">
        <w:rPr>
          <w:bCs/>
          <w:color w:val="0072CE"/>
        </w:rPr>
        <w:t xml:space="preserve">For any queries about this funding or details within this document, please contact the </w:t>
      </w:r>
      <w:r w:rsidR="0036112F" w:rsidRPr="00341E2F">
        <w:rPr>
          <w:b/>
          <w:color w:val="0072CE"/>
        </w:rPr>
        <w:t>NHS England South East Cancer and Diagnostic Programme</w:t>
      </w:r>
      <w:r w:rsidR="00E3695A" w:rsidRPr="00341E2F">
        <w:rPr>
          <w:b/>
          <w:color w:val="0072CE"/>
        </w:rPr>
        <w:t xml:space="preserve">, </w:t>
      </w:r>
      <w:r w:rsidR="00E3695A" w:rsidRPr="00341E2F">
        <w:rPr>
          <w:bCs/>
          <w:color w:val="0072CE"/>
        </w:rPr>
        <w:t>part of the</w:t>
      </w:r>
      <w:r w:rsidR="00E3695A" w:rsidRPr="00341E2F">
        <w:rPr>
          <w:b/>
          <w:color w:val="0072CE"/>
        </w:rPr>
        <w:t xml:space="preserve"> Workforce, Training &amp; Education directorate</w:t>
      </w:r>
      <w:r w:rsidR="0036112F" w:rsidRPr="004B3B37">
        <w:rPr>
          <w:bCs/>
          <w:color w:val="0072CE"/>
        </w:rPr>
        <w:t>,</w:t>
      </w:r>
      <w:r w:rsidR="0036112F" w:rsidRPr="00492D26">
        <w:rPr>
          <w:bCs/>
          <w:color w:val="005EB8" w:themeColor="text1"/>
        </w:rPr>
        <w:t xml:space="preserve"> </w:t>
      </w:r>
      <w:hyperlink r:id="rId15" w:history="1">
        <w:r w:rsidRPr="00287752">
          <w:rPr>
            <w:rStyle w:val="Hyperlink"/>
          </w:rPr>
          <w:t>england.canceranddiagnostics.se@nhs.net</w:t>
        </w:r>
      </w:hyperlink>
    </w:p>
    <w:p w14:paraId="3548F455" w14:textId="647075D3" w:rsidR="0036112F" w:rsidRDefault="0036112F" w:rsidP="00107CF7"/>
    <w:p w14:paraId="4F9B4F7F" w14:textId="77777777" w:rsidR="004C4EEF" w:rsidRDefault="004C4EEF" w:rsidP="00107CF7"/>
    <w:p w14:paraId="12D6CA45" w14:textId="77777777" w:rsidR="00401083" w:rsidRPr="00812726" w:rsidRDefault="00401083" w:rsidP="00401083">
      <w:pPr>
        <w:jc w:val="both"/>
        <w:rPr>
          <w:rFonts w:cs="Arial"/>
          <w:b/>
          <w:bCs/>
          <w:color w:val="0072CE"/>
          <w:sz w:val="32"/>
          <w:szCs w:val="32"/>
        </w:rPr>
      </w:pPr>
      <w:r w:rsidRPr="00FD733E">
        <w:rPr>
          <w:b/>
          <w:bCs/>
          <w:color w:val="00A9CE"/>
          <w:sz w:val="36"/>
          <w:szCs w:val="36"/>
        </w:rPr>
        <w:t>Overview</w:t>
      </w:r>
    </w:p>
    <w:p w14:paraId="5892A55E" w14:textId="77777777" w:rsidR="008F08D4" w:rsidRPr="00545551" w:rsidRDefault="008F08D4" w:rsidP="00FA7816">
      <w:pPr>
        <w:spacing w:after="24" w:line="276" w:lineRule="auto"/>
        <w:jc w:val="both"/>
        <w:rPr>
          <w:rFonts w:cs="Arial"/>
          <w:b/>
          <w:bCs/>
          <w:lang w:val="en-US"/>
        </w:rPr>
      </w:pPr>
    </w:p>
    <w:p w14:paraId="378360F5" w14:textId="77777777" w:rsidR="00D7560E" w:rsidRDefault="00D7560E" w:rsidP="00067579">
      <w:pPr>
        <w:spacing w:after="24" w:line="276" w:lineRule="auto"/>
      </w:pPr>
      <w:r w:rsidRPr="37DF1594">
        <w:rPr>
          <w:rFonts w:eastAsia="Arial" w:cs="Arial"/>
        </w:rPr>
        <w:t>By October 2024, the completion of JETS-Workforce competencies by nursing staff, care support workers and decontamination staff on Endoscopy units will be part of the JAG standard for services and assessed via GRS and JAG Accreditation.</w:t>
      </w:r>
    </w:p>
    <w:p w14:paraId="462B5BDD" w14:textId="77777777" w:rsidR="00D7560E" w:rsidRDefault="00D7560E" w:rsidP="00067579">
      <w:pPr>
        <w:spacing w:after="24" w:line="276" w:lineRule="auto"/>
      </w:pPr>
      <w:r w:rsidRPr="37DF1594">
        <w:rPr>
          <w:rFonts w:eastAsia="Arial" w:cs="Arial"/>
        </w:rPr>
        <w:t xml:space="preserve"> </w:t>
      </w:r>
    </w:p>
    <w:p w14:paraId="0870045B" w14:textId="725A1C7A" w:rsidR="00D7560E" w:rsidRDefault="00D7560E" w:rsidP="00067579">
      <w:pPr>
        <w:spacing w:after="24" w:line="276" w:lineRule="auto"/>
      </w:pPr>
      <w:r w:rsidRPr="37DF1594">
        <w:rPr>
          <w:rFonts w:eastAsia="Arial" w:cs="Arial"/>
          <w:color w:val="005EB8" w:themeColor="text1"/>
        </w:rPr>
        <w:t xml:space="preserve">The </w:t>
      </w:r>
      <w:r w:rsidR="00916453">
        <w:rPr>
          <w:rFonts w:eastAsia="Arial" w:cs="Arial"/>
          <w:color w:val="005EB8" w:themeColor="text1"/>
        </w:rPr>
        <w:t>NHSE SE Cancer and Diagnostics Programme, via t</w:t>
      </w:r>
      <w:r w:rsidRPr="37DF1594">
        <w:rPr>
          <w:rFonts w:eastAsia="Arial" w:cs="Arial"/>
          <w:color w:val="005EB8" w:themeColor="text1"/>
        </w:rPr>
        <w:t>he South East Endoscopy Training Academy</w:t>
      </w:r>
      <w:r w:rsidR="00916453">
        <w:rPr>
          <w:rFonts w:eastAsia="Arial" w:cs="Arial"/>
          <w:color w:val="005EB8" w:themeColor="text1"/>
        </w:rPr>
        <w:t>,</w:t>
      </w:r>
      <w:r w:rsidRPr="37DF1594">
        <w:rPr>
          <w:rFonts w:eastAsia="Arial" w:cs="Arial"/>
          <w:color w:val="005EB8" w:themeColor="text1"/>
        </w:rPr>
        <w:t xml:space="preserve"> is looking to support this</w:t>
      </w:r>
      <w:r w:rsidR="003A4219">
        <w:rPr>
          <w:rFonts w:eastAsia="Arial" w:cs="Arial"/>
          <w:color w:val="005EB8" w:themeColor="text1"/>
        </w:rPr>
        <w:t xml:space="preserve"> </w:t>
      </w:r>
      <w:r w:rsidR="008B1D66">
        <w:rPr>
          <w:rFonts w:eastAsia="Arial" w:cs="Arial"/>
          <w:color w:val="005EB8" w:themeColor="text1"/>
        </w:rPr>
        <w:t xml:space="preserve">move </w:t>
      </w:r>
      <w:r w:rsidR="003A4219">
        <w:rPr>
          <w:rFonts w:eastAsia="Arial" w:cs="Arial"/>
          <w:color w:val="005EB8" w:themeColor="text1"/>
        </w:rPr>
        <w:t xml:space="preserve">towards </w:t>
      </w:r>
      <w:r w:rsidRPr="37DF1594">
        <w:rPr>
          <w:rFonts w:eastAsia="Arial" w:cs="Arial"/>
          <w:color w:val="005EB8" w:themeColor="text1"/>
        </w:rPr>
        <w:t>quality improvement within training and education</w:t>
      </w:r>
      <w:r w:rsidR="003A4219">
        <w:rPr>
          <w:rFonts w:eastAsia="Arial" w:cs="Arial"/>
          <w:color w:val="005EB8" w:themeColor="text1"/>
        </w:rPr>
        <w:t xml:space="preserve"> by </w:t>
      </w:r>
      <w:r w:rsidRPr="37DF1594">
        <w:rPr>
          <w:rFonts w:eastAsia="Arial" w:cs="Arial"/>
          <w:color w:val="005EB8" w:themeColor="text1"/>
        </w:rPr>
        <w:t>providing funding for</w:t>
      </w:r>
      <w:r w:rsidR="00C4476C">
        <w:rPr>
          <w:rFonts w:eastAsia="Arial" w:cs="Arial"/>
          <w:color w:val="005EB8" w:themeColor="text1"/>
        </w:rPr>
        <w:t xml:space="preserve"> Practice Educators in Endoscopy</w:t>
      </w:r>
      <w:r w:rsidRPr="37DF1594">
        <w:rPr>
          <w:rFonts w:eastAsia="Arial" w:cs="Arial"/>
          <w:color w:val="005EB8" w:themeColor="text1"/>
        </w:rPr>
        <w:t xml:space="preserve"> to lead on the local uptake and completion of </w:t>
      </w:r>
      <w:r w:rsidR="0020327C">
        <w:rPr>
          <w:rFonts w:eastAsia="Arial" w:cs="Arial"/>
          <w:color w:val="005EB8" w:themeColor="text1"/>
        </w:rPr>
        <w:t>JETS-Workforce</w:t>
      </w:r>
      <w:r w:rsidRPr="37DF1594">
        <w:rPr>
          <w:rFonts w:eastAsia="Arial" w:cs="Arial"/>
          <w:color w:val="005EB8" w:themeColor="text1"/>
        </w:rPr>
        <w:t xml:space="preserve"> competencies.</w:t>
      </w:r>
    </w:p>
    <w:p w14:paraId="4C63CD15" w14:textId="77777777" w:rsidR="00D7560E" w:rsidRDefault="00D7560E" w:rsidP="00067579">
      <w:pPr>
        <w:spacing w:after="24" w:line="276" w:lineRule="auto"/>
      </w:pPr>
      <w:r w:rsidRPr="37DF1594">
        <w:rPr>
          <w:rFonts w:eastAsia="Arial" w:cs="Arial"/>
          <w:color w:val="005EB8" w:themeColor="text1"/>
        </w:rPr>
        <w:t xml:space="preserve">  </w:t>
      </w:r>
    </w:p>
    <w:p w14:paraId="2BBF770C" w14:textId="22AA9C37" w:rsidR="00D7560E" w:rsidRDefault="00D7560E" w:rsidP="00067579">
      <w:pPr>
        <w:spacing w:after="24" w:line="276" w:lineRule="auto"/>
      </w:pPr>
      <w:r w:rsidRPr="37DF1594">
        <w:rPr>
          <w:rFonts w:eastAsia="Arial" w:cs="Arial"/>
        </w:rPr>
        <w:t>After a successful initial pilot</w:t>
      </w:r>
      <w:r w:rsidR="00DF797F">
        <w:rPr>
          <w:rFonts w:eastAsia="Arial" w:cs="Arial"/>
        </w:rPr>
        <w:t xml:space="preserve"> in a number of South East Trusts</w:t>
      </w:r>
      <w:r w:rsidRPr="37DF1594">
        <w:rPr>
          <w:rFonts w:eastAsia="Arial" w:cs="Arial"/>
        </w:rPr>
        <w:t xml:space="preserve"> supporting roles for Practice Educators in endoscopy, we are looking to expand</w:t>
      </w:r>
      <w:r w:rsidR="00141C57">
        <w:rPr>
          <w:rFonts w:eastAsia="Arial" w:cs="Arial"/>
        </w:rPr>
        <w:t xml:space="preserve"> and continue</w:t>
      </w:r>
      <w:r w:rsidRPr="37DF1594">
        <w:rPr>
          <w:rFonts w:eastAsia="Arial" w:cs="Arial"/>
        </w:rPr>
        <w:t xml:space="preserve"> this </w:t>
      </w:r>
      <w:r w:rsidR="00DF797F">
        <w:rPr>
          <w:rFonts w:eastAsia="Arial" w:cs="Arial"/>
        </w:rPr>
        <w:t>across</w:t>
      </w:r>
      <w:r w:rsidRPr="37DF1594">
        <w:rPr>
          <w:rFonts w:eastAsia="Arial" w:cs="Arial"/>
        </w:rPr>
        <w:t xml:space="preserve"> the </w:t>
      </w:r>
      <w:r w:rsidR="00DF797F">
        <w:rPr>
          <w:rFonts w:eastAsia="Arial" w:cs="Arial"/>
        </w:rPr>
        <w:t xml:space="preserve">whole of the </w:t>
      </w:r>
      <w:r w:rsidRPr="37DF1594">
        <w:rPr>
          <w:rFonts w:eastAsia="Arial" w:cs="Arial"/>
        </w:rPr>
        <w:t xml:space="preserve">South East region. </w:t>
      </w:r>
    </w:p>
    <w:p w14:paraId="6B46C7B8" w14:textId="77777777" w:rsidR="00D7560E" w:rsidRDefault="00D7560E" w:rsidP="00067579">
      <w:pPr>
        <w:spacing w:after="24" w:line="276" w:lineRule="auto"/>
      </w:pPr>
      <w:r w:rsidRPr="37DF1594">
        <w:rPr>
          <w:rFonts w:eastAsia="Arial" w:cs="Arial"/>
        </w:rPr>
        <w:t xml:space="preserve"> </w:t>
      </w:r>
    </w:p>
    <w:p w14:paraId="1568DF2C" w14:textId="4227861D" w:rsidR="00D7560E" w:rsidRDefault="00D7560E" w:rsidP="00067579">
      <w:pPr>
        <w:spacing w:after="24" w:line="276" w:lineRule="auto"/>
      </w:pPr>
      <w:r w:rsidRPr="37DF1594">
        <w:rPr>
          <w:rFonts w:eastAsia="Arial" w:cs="Arial"/>
        </w:rPr>
        <w:t xml:space="preserve">We are </w:t>
      </w:r>
      <w:r w:rsidR="00CC46EC">
        <w:rPr>
          <w:rFonts w:eastAsia="Arial" w:cs="Arial"/>
        </w:rPr>
        <w:t>inviting applications</w:t>
      </w:r>
      <w:r w:rsidRPr="37DF1594">
        <w:rPr>
          <w:rFonts w:eastAsia="Arial" w:cs="Arial"/>
        </w:rPr>
        <w:t xml:space="preserve"> for funding for Practice Educator</w:t>
      </w:r>
      <w:r w:rsidR="00F0452A">
        <w:rPr>
          <w:rFonts w:eastAsia="Arial" w:cs="Arial"/>
        </w:rPr>
        <w:t>s</w:t>
      </w:r>
      <w:r w:rsidRPr="37DF1594">
        <w:rPr>
          <w:rFonts w:eastAsia="Arial" w:cs="Arial"/>
        </w:rPr>
        <w:t xml:space="preserve"> in Endoscopy</w:t>
      </w:r>
      <w:r w:rsidR="00F0452A">
        <w:rPr>
          <w:rFonts w:eastAsia="Arial" w:cs="Arial"/>
        </w:rPr>
        <w:t xml:space="preserve">. </w:t>
      </w:r>
      <w:r w:rsidRPr="37DF1594">
        <w:rPr>
          <w:rFonts w:eastAsia="Arial" w:cs="Arial"/>
        </w:rPr>
        <w:t>This could be a new role, or</w:t>
      </w:r>
      <w:r w:rsidR="00141C57">
        <w:rPr>
          <w:rFonts w:eastAsia="Arial" w:cs="Arial"/>
        </w:rPr>
        <w:t xml:space="preserve"> continuing the role of an</w:t>
      </w:r>
      <w:r w:rsidRPr="37DF1594">
        <w:rPr>
          <w:rFonts w:eastAsia="Arial" w:cs="Arial"/>
        </w:rPr>
        <w:t xml:space="preserve"> established Practice Educator</w:t>
      </w:r>
      <w:r w:rsidR="00141C57">
        <w:rPr>
          <w:rFonts w:eastAsia="Arial" w:cs="Arial"/>
        </w:rPr>
        <w:t xml:space="preserve"> whose salary is not currently funded as part of the Trusts usual establishment.</w:t>
      </w:r>
    </w:p>
    <w:p w14:paraId="7FCA6260" w14:textId="77777777" w:rsidR="006118A5" w:rsidRDefault="006118A5" w:rsidP="00067579">
      <w:pPr>
        <w:spacing w:after="24" w:line="276" w:lineRule="auto"/>
        <w:jc w:val="both"/>
        <w:rPr>
          <w:rFonts w:cs="Arial"/>
          <w:b/>
          <w:bCs/>
          <w:iCs/>
          <w:color w:val="333333"/>
          <w:sz w:val="28"/>
          <w:szCs w:val="28"/>
        </w:rPr>
      </w:pPr>
    </w:p>
    <w:p w14:paraId="526C7C43" w14:textId="5B5EEE97" w:rsidR="00401083" w:rsidRPr="00B07B65" w:rsidRDefault="00401083" w:rsidP="00401083">
      <w:pPr>
        <w:jc w:val="both"/>
        <w:rPr>
          <w:rFonts w:cs="Arial"/>
          <w:b/>
          <w:bCs/>
          <w:iCs/>
          <w:color w:val="003893"/>
          <w:sz w:val="28"/>
          <w:szCs w:val="28"/>
        </w:rPr>
      </w:pPr>
      <w:r w:rsidRPr="00B07B65">
        <w:rPr>
          <w:rFonts w:cs="Arial"/>
          <w:b/>
          <w:bCs/>
          <w:iCs/>
          <w:color w:val="003893"/>
          <w:sz w:val="28"/>
          <w:szCs w:val="28"/>
        </w:rPr>
        <w:t>The funding offer</w:t>
      </w:r>
    </w:p>
    <w:p w14:paraId="1BDED35C" w14:textId="77777777" w:rsidR="00401083" w:rsidRDefault="00401083" w:rsidP="00401083">
      <w:pPr>
        <w:jc w:val="both"/>
        <w:rPr>
          <w:rFonts w:cs="Arial"/>
          <w:lang w:val="en-US"/>
        </w:rPr>
      </w:pPr>
    </w:p>
    <w:p w14:paraId="72992F3B" w14:textId="26B7CF7D" w:rsidR="00E55164" w:rsidRPr="00000462" w:rsidRDefault="0067641F" w:rsidP="00DF7BF2">
      <w:pPr>
        <w:rPr>
          <w:rFonts w:cs="Arial"/>
          <w:color w:val="1C1C1C"/>
          <w:lang w:val="en-US"/>
        </w:rPr>
      </w:pPr>
      <w:r w:rsidRPr="00067579">
        <w:rPr>
          <w:rFonts w:cs="Arial"/>
          <w:color w:val="1C1C1C"/>
          <w:lang w:val="en-US"/>
        </w:rPr>
        <w:t xml:space="preserve">We are offering funding for </w:t>
      </w:r>
      <w:r w:rsidR="00FA36AA" w:rsidRPr="00067579">
        <w:rPr>
          <w:rFonts w:cs="Arial"/>
          <w:color w:val="1C1C1C"/>
          <w:lang w:val="en-US"/>
        </w:rPr>
        <w:t xml:space="preserve">salary and/or </w:t>
      </w:r>
      <w:r w:rsidR="00FB49A8" w:rsidRPr="00000462">
        <w:rPr>
          <w:rFonts w:cs="Arial"/>
          <w:color w:val="1C1C1C"/>
          <w:lang w:val="en-US"/>
        </w:rPr>
        <w:t>upskilling</w:t>
      </w:r>
      <w:r w:rsidR="00FA36AA" w:rsidRPr="00067579">
        <w:rPr>
          <w:rFonts w:cs="Arial"/>
          <w:color w:val="1C1C1C"/>
          <w:lang w:val="en-US"/>
        </w:rPr>
        <w:t xml:space="preserve"> for practice educators in endoscopy.</w:t>
      </w:r>
      <w:r w:rsidR="00491FD1" w:rsidRPr="00067579">
        <w:rPr>
          <w:rFonts w:cs="Arial"/>
          <w:color w:val="1C1C1C"/>
          <w:lang w:val="en-US"/>
        </w:rPr>
        <w:t xml:space="preserve"> </w:t>
      </w:r>
      <w:r w:rsidR="00996703" w:rsidRPr="00000462">
        <w:rPr>
          <w:rFonts w:cs="Arial"/>
          <w:color w:val="1C1C1C"/>
          <w:lang w:val="en-US"/>
        </w:rPr>
        <w:t xml:space="preserve">Please note that funding for this deliverable is limited; therefore, </w:t>
      </w:r>
      <w:r w:rsidR="00EA31EB" w:rsidRPr="00000462">
        <w:rPr>
          <w:rFonts w:cs="Arial"/>
          <w:color w:val="1C1C1C"/>
          <w:lang w:val="en-US"/>
        </w:rPr>
        <w:t xml:space="preserve">we may not be able to support all applications. </w:t>
      </w:r>
    </w:p>
    <w:p w14:paraId="4F56CAA9" w14:textId="77777777" w:rsidR="00E55164" w:rsidRPr="00000462" w:rsidRDefault="00E55164" w:rsidP="00DF7BF2">
      <w:pPr>
        <w:rPr>
          <w:rFonts w:cs="Arial"/>
          <w:color w:val="1C1C1C"/>
          <w:lang w:val="en-US"/>
        </w:rPr>
      </w:pPr>
    </w:p>
    <w:p w14:paraId="3C61BD16" w14:textId="79B5D26E" w:rsidR="00890461" w:rsidRDefault="00C202AF" w:rsidP="00DF7BF2">
      <w:pPr>
        <w:rPr>
          <w:rFonts w:cs="Arial"/>
          <w:color w:val="1C1C1C"/>
          <w:lang w:val="en-US"/>
        </w:rPr>
      </w:pPr>
      <w:r>
        <w:rPr>
          <w:rFonts w:cs="Arial"/>
          <w:color w:val="1C1C1C"/>
          <w:lang w:val="en-US"/>
        </w:rPr>
        <w:t>In some circumstances, a Trust may be able to apply for additional days for their practice educator</w:t>
      </w:r>
      <w:r w:rsidR="000160F6">
        <w:rPr>
          <w:rFonts w:cs="Arial"/>
          <w:color w:val="1C1C1C"/>
          <w:lang w:val="en-US"/>
        </w:rPr>
        <w:t xml:space="preserve">. Additional days a week for practice educators will be considered where the practice educator provides training for multiple units or </w:t>
      </w:r>
      <w:r w:rsidR="002E56CA">
        <w:rPr>
          <w:rFonts w:cs="Arial"/>
          <w:color w:val="1C1C1C"/>
          <w:lang w:val="en-US"/>
        </w:rPr>
        <w:t>provides a significant number of training courses to benefit the endoscopy workforce across South East region.</w:t>
      </w:r>
    </w:p>
    <w:p w14:paraId="689B00E3" w14:textId="77777777" w:rsidR="00890461" w:rsidRDefault="00890461" w:rsidP="00067579">
      <w:pPr>
        <w:spacing w:afterLines="24" w:after="57" w:line="276" w:lineRule="auto"/>
        <w:rPr>
          <w:rFonts w:cs="Arial"/>
          <w:color w:val="1C1C1C"/>
          <w:lang w:val="en-US"/>
        </w:rPr>
      </w:pPr>
    </w:p>
    <w:p w14:paraId="0B93E23E" w14:textId="0C9FC6D1" w:rsidR="009A79E2" w:rsidRPr="00067579" w:rsidRDefault="00491FD1" w:rsidP="00067579">
      <w:pPr>
        <w:spacing w:afterLines="24" w:after="57" w:line="276" w:lineRule="auto"/>
        <w:rPr>
          <w:rFonts w:cs="Arial"/>
          <w:color w:val="1C1C1C"/>
          <w:lang w:val="en-US"/>
        </w:rPr>
      </w:pPr>
      <w:r w:rsidRPr="00067579">
        <w:rPr>
          <w:rFonts w:cs="Arial"/>
          <w:color w:val="1C1C1C"/>
          <w:lang w:val="en-US"/>
        </w:rPr>
        <w:t>These practice</w:t>
      </w:r>
      <w:r w:rsidR="008D493D" w:rsidRPr="00067579">
        <w:rPr>
          <w:rFonts w:cs="Arial"/>
          <w:color w:val="1C1C1C"/>
          <w:lang w:val="en-US"/>
        </w:rPr>
        <w:t xml:space="preserve"> educators will be expected to</w:t>
      </w:r>
      <w:r w:rsidR="00301799" w:rsidRPr="00067579">
        <w:rPr>
          <w:rFonts w:cs="Arial"/>
          <w:color w:val="1C1C1C"/>
          <w:lang w:val="en-US"/>
        </w:rPr>
        <w:t>:</w:t>
      </w:r>
    </w:p>
    <w:p w14:paraId="43E76ED6" w14:textId="1FDC94F4" w:rsidR="00491FD1" w:rsidRPr="001B39A6" w:rsidRDefault="00491FD1" w:rsidP="00067579">
      <w:pPr>
        <w:pStyle w:val="ListParagraph"/>
        <w:numPr>
          <w:ilvl w:val="0"/>
          <w:numId w:val="15"/>
        </w:numPr>
        <w:tabs>
          <w:tab w:val="left" w:pos="0"/>
          <w:tab w:val="left" w:pos="720"/>
        </w:tabs>
        <w:spacing w:afterLines="24" w:after="57" w:line="276" w:lineRule="auto"/>
        <w:rPr>
          <w:rFonts w:eastAsia="Arial" w:cs="Arial"/>
        </w:rPr>
      </w:pPr>
      <w:r w:rsidRPr="37DF1594">
        <w:rPr>
          <w:rFonts w:eastAsia="Arial" w:cs="Arial"/>
        </w:rPr>
        <w:t>upskill and support staff through the JETS</w:t>
      </w:r>
      <w:r w:rsidR="00663096">
        <w:rPr>
          <w:rFonts w:eastAsia="Arial" w:cs="Arial"/>
        </w:rPr>
        <w:t>-</w:t>
      </w:r>
      <w:r w:rsidRPr="37DF1594">
        <w:rPr>
          <w:rFonts w:eastAsia="Arial" w:cs="Arial"/>
        </w:rPr>
        <w:t xml:space="preserve">Workforce Programme </w:t>
      </w:r>
    </w:p>
    <w:p w14:paraId="2093F18B" w14:textId="1D6040DA" w:rsidR="00491FD1" w:rsidRDefault="00491FD1" w:rsidP="00067579">
      <w:pPr>
        <w:pStyle w:val="ListParagraph"/>
        <w:numPr>
          <w:ilvl w:val="0"/>
          <w:numId w:val="15"/>
        </w:numPr>
        <w:tabs>
          <w:tab w:val="left" w:pos="0"/>
          <w:tab w:val="left" w:pos="720"/>
        </w:tabs>
        <w:spacing w:afterLines="24" w:after="57" w:line="276" w:lineRule="auto"/>
        <w:rPr>
          <w:rFonts w:eastAsia="Arial" w:cs="Arial"/>
        </w:rPr>
      </w:pPr>
      <w:r w:rsidRPr="37DF1594">
        <w:rPr>
          <w:rFonts w:eastAsia="Arial" w:cs="Arial"/>
        </w:rPr>
        <w:t xml:space="preserve">attend the established Endoscopy Practice Educator Community </w:t>
      </w:r>
    </w:p>
    <w:p w14:paraId="4E1902C7" w14:textId="16D8885E" w:rsidR="006118A5" w:rsidRPr="003F68BC" w:rsidRDefault="00900FC5" w:rsidP="00067579">
      <w:pPr>
        <w:pStyle w:val="ListParagraph"/>
        <w:numPr>
          <w:ilvl w:val="0"/>
          <w:numId w:val="15"/>
        </w:numPr>
        <w:tabs>
          <w:tab w:val="left" w:pos="0"/>
          <w:tab w:val="left" w:pos="720"/>
        </w:tabs>
        <w:spacing w:afterLines="24" w:after="57" w:line="276" w:lineRule="auto"/>
        <w:rPr>
          <w:rFonts w:eastAsia="Arial" w:cs="Arial"/>
        </w:rPr>
      </w:pPr>
      <w:r>
        <w:rPr>
          <w:rFonts w:eastAsia="Arial" w:cs="Arial"/>
        </w:rPr>
        <w:t xml:space="preserve">As part of </w:t>
      </w:r>
      <w:r w:rsidR="001B39A6">
        <w:rPr>
          <w:rFonts w:eastAsia="Arial" w:cs="Arial"/>
        </w:rPr>
        <w:t xml:space="preserve">the Endoscopy Practice Educator Community, Practice Educators </w:t>
      </w:r>
      <w:r w:rsidR="001B39A6" w:rsidRPr="37DF1594">
        <w:rPr>
          <w:rFonts w:eastAsia="Arial" w:cs="Arial"/>
        </w:rPr>
        <w:t>will</w:t>
      </w:r>
      <w:r w:rsidR="001B39A6">
        <w:rPr>
          <w:rFonts w:eastAsia="Arial" w:cs="Arial"/>
        </w:rPr>
        <w:t xml:space="preserve"> collaborate to</w:t>
      </w:r>
      <w:r w:rsidR="001B39A6" w:rsidRPr="37DF1594">
        <w:rPr>
          <w:rFonts w:eastAsia="Arial" w:cs="Arial"/>
        </w:rPr>
        <w:t xml:space="preserve"> provide teaching</w:t>
      </w:r>
      <w:r w:rsidR="001B39A6">
        <w:rPr>
          <w:rFonts w:eastAsia="Arial" w:cs="Arial"/>
        </w:rPr>
        <w:t>,</w:t>
      </w:r>
      <w:r w:rsidR="001B39A6" w:rsidRPr="37DF1594">
        <w:rPr>
          <w:rFonts w:eastAsia="Arial" w:cs="Arial"/>
        </w:rPr>
        <w:t xml:space="preserve"> resources </w:t>
      </w:r>
      <w:r w:rsidR="001B39A6">
        <w:rPr>
          <w:rFonts w:eastAsia="Arial" w:cs="Arial"/>
        </w:rPr>
        <w:t xml:space="preserve">and courses </w:t>
      </w:r>
      <w:r w:rsidR="001B39A6" w:rsidRPr="37DF1594">
        <w:rPr>
          <w:rFonts w:eastAsia="Arial" w:cs="Arial"/>
        </w:rPr>
        <w:t xml:space="preserve">that </w:t>
      </w:r>
      <w:r w:rsidR="001B39A6">
        <w:rPr>
          <w:rFonts w:eastAsia="Arial" w:cs="Arial"/>
        </w:rPr>
        <w:t>benefit the South East region.</w:t>
      </w:r>
    </w:p>
    <w:p w14:paraId="6DFB8948" w14:textId="77777777" w:rsidR="002C7FD2" w:rsidRDefault="002C7FD2" w:rsidP="00401083">
      <w:pPr>
        <w:jc w:val="both"/>
        <w:rPr>
          <w:rFonts w:cs="Arial"/>
          <w:b/>
          <w:bCs/>
          <w:iCs/>
          <w:color w:val="003893"/>
          <w:sz w:val="28"/>
          <w:szCs w:val="28"/>
        </w:rPr>
      </w:pPr>
    </w:p>
    <w:p w14:paraId="28FA1605" w14:textId="2642DBEB" w:rsidR="00FE4E56" w:rsidRPr="00B07B65" w:rsidRDefault="00401083" w:rsidP="00401083">
      <w:pPr>
        <w:jc w:val="both"/>
        <w:rPr>
          <w:rFonts w:cs="Arial"/>
          <w:b/>
          <w:bCs/>
          <w:iCs/>
          <w:color w:val="003893"/>
          <w:sz w:val="28"/>
          <w:szCs w:val="28"/>
        </w:rPr>
      </w:pPr>
      <w:r w:rsidRPr="00B07B65">
        <w:rPr>
          <w:rFonts w:cs="Arial"/>
          <w:b/>
          <w:bCs/>
          <w:iCs/>
          <w:color w:val="003893"/>
          <w:sz w:val="28"/>
          <w:szCs w:val="28"/>
        </w:rPr>
        <w:t>How to access this funding</w:t>
      </w:r>
    </w:p>
    <w:p w14:paraId="267F4C09" w14:textId="77777777" w:rsidR="006E2CDC" w:rsidRDefault="006E2CDC" w:rsidP="00B817F8">
      <w:pPr>
        <w:spacing w:after="24" w:line="276" w:lineRule="auto"/>
        <w:jc w:val="both"/>
        <w:rPr>
          <w:rFonts w:cs="Arial"/>
          <w:b/>
          <w:bCs/>
          <w:iCs/>
          <w:color w:val="0070C0"/>
          <w:sz w:val="28"/>
          <w:szCs w:val="28"/>
        </w:rPr>
      </w:pPr>
    </w:p>
    <w:p w14:paraId="10AFE55B" w14:textId="5FC66377" w:rsidR="00B817F8" w:rsidRDefault="006E2CDC" w:rsidP="00B817F8">
      <w:pPr>
        <w:spacing w:after="24" w:line="276" w:lineRule="auto"/>
        <w:jc w:val="both"/>
        <w:rPr>
          <w:rFonts w:cs="Arial"/>
          <w:color w:val="1C1C1C"/>
          <w:lang w:val="en-US"/>
        </w:rPr>
      </w:pPr>
      <w:r>
        <w:rPr>
          <w:rFonts w:cs="Arial"/>
          <w:color w:val="1C1C1C"/>
          <w:lang w:val="en-US"/>
        </w:rPr>
        <w:t>To</w:t>
      </w:r>
      <w:r w:rsidR="00B817F8">
        <w:rPr>
          <w:rFonts w:cs="Arial"/>
          <w:color w:val="1C1C1C"/>
          <w:lang w:val="en-US"/>
        </w:rPr>
        <w:t xml:space="preserve"> submit an </w:t>
      </w:r>
      <w:r w:rsidR="00252A63">
        <w:rPr>
          <w:rFonts w:cs="Arial"/>
          <w:color w:val="1C1C1C"/>
          <w:lang w:val="en-US"/>
        </w:rPr>
        <w:t>application</w:t>
      </w:r>
      <w:r w:rsidR="00B817F8">
        <w:rPr>
          <w:rFonts w:cs="Arial"/>
          <w:color w:val="1C1C1C"/>
          <w:lang w:val="en-US"/>
        </w:rPr>
        <w:t xml:space="preserve"> for this funding, please use th</w:t>
      </w:r>
      <w:r w:rsidR="00252A63">
        <w:rPr>
          <w:rFonts w:cs="Arial"/>
          <w:color w:val="1C1C1C"/>
          <w:lang w:val="en-US"/>
        </w:rPr>
        <w:t xml:space="preserve">is link: </w:t>
      </w:r>
      <w:hyperlink r:id="rId16" w:history="1">
        <w:r w:rsidR="00D97D16">
          <w:rPr>
            <w:rStyle w:val="Hyperlink"/>
            <w:rFonts w:cs="Arial"/>
            <w:sz w:val="22"/>
            <w:szCs w:val="22"/>
            <w:lang w:val="en-US"/>
          </w:rPr>
          <w:t>Endoscopy Practice Education application form</w:t>
        </w:r>
      </w:hyperlink>
    </w:p>
    <w:p w14:paraId="07F7F7F0" w14:textId="77777777" w:rsidR="00C0109F" w:rsidRDefault="00C0109F" w:rsidP="00B817F8">
      <w:pPr>
        <w:spacing w:after="24" w:line="276" w:lineRule="auto"/>
        <w:jc w:val="both"/>
        <w:rPr>
          <w:rFonts w:cs="Arial"/>
          <w:color w:val="1C1C1C"/>
          <w:lang w:val="en-US"/>
        </w:rPr>
      </w:pPr>
    </w:p>
    <w:p w14:paraId="534341EE" w14:textId="77777777" w:rsidR="00C0109F" w:rsidRDefault="00C0109F" w:rsidP="00C0109F">
      <w:r>
        <w:rPr>
          <w:rStyle w:val="ui-provider"/>
        </w:rPr>
        <w:lastRenderedPageBreak/>
        <w:t xml:space="preserve">Please note that applications must not be submitted by individual learners themselves; all applications must be submitted on behalf of the named learner </w:t>
      </w:r>
      <w:proofErr w:type="spellStart"/>
      <w:r>
        <w:rPr>
          <w:rStyle w:val="ui-provider"/>
        </w:rPr>
        <w:t>eg</w:t>
      </w:r>
      <w:proofErr w:type="spellEnd"/>
      <w:r>
        <w:rPr>
          <w:rStyle w:val="ui-provider"/>
        </w:rPr>
        <w:t xml:space="preserve"> by a line manager/head of department/education lead etc.</w:t>
      </w:r>
    </w:p>
    <w:p w14:paraId="51415ABF" w14:textId="77777777" w:rsidR="00C0109F" w:rsidRDefault="00C0109F" w:rsidP="00B817F8">
      <w:pPr>
        <w:spacing w:after="24" w:line="276" w:lineRule="auto"/>
        <w:jc w:val="both"/>
        <w:rPr>
          <w:rFonts w:cs="Arial"/>
          <w:color w:val="1C1C1C"/>
          <w:lang w:val="en-US"/>
        </w:rPr>
      </w:pPr>
    </w:p>
    <w:p w14:paraId="396E52D5" w14:textId="4E1EFE68" w:rsidR="00E37936" w:rsidRPr="009842AE" w:rsidRDefault="00E37936" w:rsidP="00E37936">
      <w:pPr>
        <w:spacing w:afterLines="24" w:after="57" w:line="276" w:lineRule="auto"/>
        <w:jc w:val="both"/>
        <w:rPr>
          <w:rFonts w:cs="Arial"/>
          <w:color w:val="333333"/>
          <w:lang w:val="en-US"/>
        </w:rPr>
      </w:pPr>
      <w:r w:rsidRPr="009842AE">
        <w:rPr>
          <w:rFonts w:cs="Arial"/>
          <w:color w:val="333333"/>
          <w:lang w:val="en-US"/>
        </w:rPr>
        <w:t xml:space="preserve">The application window will open </w:t>
      </w:r>
      <w:r w:rsidR="00F267C7">
        <w:rPr>
          <w:rFonts w:cs="Arial"/>
          <w:color w:val="333333"/>
          <w:lang w:val="en-US"/>
        </w:rPr>
        <w:t xml:space="preserve">in </w:t>
      </w:r>
      <w:r w:rsidR="00F267C7" w:rsidRPr="00F267C7">
        <w:rPr>
          <w:rFonts w:cs="Arial"/>
          <w:b/>
          <w:bCs/>
          <w:color w:val="FF0000"/>
          <w:lang w:val="en-US"/>
        </w:rPr>
        <w:t>early</w:t>
      </w:r>
      <w:r w:rsidR="00F267C7">
        <w:rPr>
          <w:rFonts w:cs="Arial"/>
          <w:color w:val="333333"/>
          <w:lang w:val="en-US"/>
        </w:rPr>
        <w:t xml:space="preserve"> </w:t>
      </w:r>
      <w:r w:rsidRPr="009842AE">
        <w:rPr>
          <w:rFonts w:cs="Arial"/>
          <w:b/>
          <w:bCs/>
          <w:color w:val="FF0000"/>
          <w:lang w:val="en-US"/>
        </w:rPr>
        <w:t xml:space="preserve">March and will close at 9am on Tuesday 2 April 2024 </w:t>
      </w:r>
      <w:r w:rsidRPr="009842AE">
        <w:rPr>
          <w:rFonts w:cs="Arial"/>
          <w:color w:val="333333"/>
          <w:lang w:val="en-US"/>
        </w:rPr>
        <w:t xml:space="preserve">to support funding being transferred in June 2024 via the NHSE Education Contract schedule if possible. </w:t>
      </w:r>
    </w:p>
    <w:p w14:paraId="60BDBC95" w14:textId="77777777" w:rsidR="00064BD3" w:rsidRPr="00B26969" w:rsidRDefault="00064BD3" w:rsidP="00D305F3">
      <w:pPr>
        <w:spacing w:after="24" w:line="276" w:lineRule="auto"/>
        <w:jc w:val="both"/>
        <w:rPr>
          <w:rFonts w:asciiTheme="minorHAnsi" w:hAnsiTheme="minorHAnsi" w:cstheme="minorHAnsi"/>
          <w:color w:val="1C1C1C"/>
        </w:rPr>
      </w:pPr>
    </w:p>
    <w:p w14:paraId="29E12A5D" w14:textId="2CA62537" w:rsidR="001D212C" w:rsidRPr="00B26969" w:rsidRDefault="00064BD3" w:rsidP="00D305F3">
      <w:pPr>
        <w:spacing w:after="24" w:line="276" w:lineRule="auto"/>
        <w:jc w:val="both"/>
        <w:rPr>
          <w:rFonts w:asciiTheme="minorHAnsi" w:hAnsiTheme="minorHAnsi" w:cstheme="minorHAnsi"/>
          <w:color w:val="1C1C1C"/>
          <w:lang w:val="en-US"/>
        </w:rPr>
      </w:pPr>
      <w:r w:rsidRPr="00B26969">
        <w:rPr>
          <w:rFonts w:asciiTheme="minorHAnsi" w:hAnsiTheme="minorHAnsi" w:cstheme="minorHAnsi"/>
          <w:color w:val="1C1C1C"/>
        </w:rPr>
        <w:t xml:space="preserve">All applications </w:t>
      </w:r>
      <w:r w:rsidR="00401083" w:rsidRPr="00B26969">
        <w:rPr>
          <w:rFonts w:cs="Arial"/>
          <w:color w:val="1C1C1C"/>
          <w:lang w:val="en-US"/>
        </w:rPr>
        <w:t xml:space="preserve">will be reviewed by the </w:t>
      </w:r>
      <w:r w:rsidR="00F0795E" w:rsidRPr="00B26969">
        <w:rPr>
          <w:rFonts w:cs="Arial"/>
          <w:color w:val="1C1C1C"/>
          <w:lang w:val="en-US"/>
        </w:rPr>
        <w:t>NHSE</w:t>
      </w:r>
      <w:r w:rsidR="006D6D0D" w:rsidRPr="00B26969">
        <w:rPr>
          <w:rFonts w:cs="Arial"/>
          <w:color w:val="1C1C1C"/>
          <w:lang w:val="en-US"/>
        </w:rPr>
        <w:t xml:space="preserve"> </w:t>
      </w:r>
      <w:r w:rsidR="00F0795E" w:rsidRPr="00B26969">
        <w:rPr>
          <w:rFonts w:cs="Arial"/>
          <w:color w:val="1C1C1C"/>
          <w:lang w:val="en-US"/>
        </w:rPr>
        <w:t>SE</w:t>
      </w:r>
      <w:r w:rsidR="00401083" w:rsidRPr="00B26969">
        <w:rPr>
          <w:rFonts w:cs="Arial"/>
          <w:color w:val="1C1C1C"/>
          <w:lang w:val="en-US"/>
        </w:rPr>
        <w:t xml:space="preserve"> Cancer and Diagnostics Programme team</w:t>
      </w:r>
      <w:r w:rsidR="00F0795E" w:rsidRPr="00B26969">
        <w:rPr>
          <w:rFonts w:cs="Arial"/>
          <w:color w:val="1C1C1C"/>
          <w:lang w:val="en-US"/>
        </w:rPr>
        <w:t xml:space="preserve"> [Workforce, Training and Education]</w:t>
      </w:r>
      <w:r w:rsidR="00401083" w:rsidRPr="00B26969">
        <w:rPr>
          <w:rFonts w:cs="Arial"/>
          <w:color w:val="1C1C1C"/>
          <w:lang w:val="en-US"/>
        </w:rPr>
        <w:t>.</w:t>
      </w:r>
      <w:r w:rsidR="00532830">
        <w:rPr>
          <w:rFonts w:cs="Arial"/>
          <w:color w:val="1C1C1C"/>
          <w:lang w:val="en-US"/>
        </w:rPr>
        <w:t xml:space="preserve"> </w:t>
      </w:r>
      <w:r w:rsidR="001D212C">
        <w:rPr>
          <w:rStyle w:val="ui-provider"/>
        </w:rPr>
        <w:t>It is possible that a second application round will run later in the year, subject to available funding but at this stage we aren’t able to confirm this. </w:t>
      </w:r>
    </w:p>
    <w:p w14:paraId="342549BA" w14:textId="77777777" w:rsidR="00401083" w:rsidRDefault="00401083" w:rsidP="00D305F3">
      <w:pPr>
        <w:spacing w:after="24" w:line="276" w:lineRule="auto"/>
        <w:jc w:val="both"/>
        <w:rPr>
          <w:rFonts w:cs="Arial"/>
          <w:b/>
          <w:bCs/>
          <w:lang w:val="en-US"/>
        </w:rPr>
      </w:pPr>
    </w:p>
    <w:p w14:paraId="158A3FD6" w14:textId="6F7373C1" w:rsidR="00401083" w:rsidRPr="00B07B65" w:rsidRDefault="00401083" w:rsidP="00401083">
      <w:pPr>
        <w:jc w:val="both"/>
        <w:rPr>
          <w:rFonts w:cs="Arial"/>
          <w:b/>
          <w:bCs/>
          <w:color w:val="003893"/>
          <w:sz w:val="28"/>
          <w:szCs w:val="28"/>
          <w:lang w:val="en-US"/>
        </w:rPr>
      </w:pPr>
      <w:r w:rsidRPr="00B07B65">
        <w:rPr>
          <w:rFonts w:cs="Arial"/>
          <w:b/>
          <w:bCs/>
          <w:color w:val="003893"/>
          <w:sz w:val="28"/>
          <w:szCs w:val="28"/>
          <w:lang w:val="en-US"/>
        </w:rPr>
        <w:t xml:space="preserve">Expectations of organisations upon application of funding </w:t>
      </w:r>
    </w:p>
    <w:p w14:paraId="5D3EEBBB" w14:textId="77777777" w:rsidR="009F3C7D" w:rsidRPr="00D57119" w:rsidRDefault="009F3C7D" w:rsidP="00401083">
      <w:pPr>
        <w:jc w:val="both"/>
        <w:rPr>
          <w:rFonts w:cs="Arial"/>
          <w:b/>
          <w:bCs/>
          <w:color w:val="0070C0"/>
          <w:sz w:val="28"/>
          <w:szCs w:val="28"/>
          <w:lang w:val="en-US"/>
        </w:rPr>
      </w:pPr>
    </w:p>
    <w:p w14:paraId="73BFB15B" w14:textId="77777777" w:rsidR="00401083" w:rsidRPr="00413D35" w:rsidRDefault="00401083" w:rsidP="00401083">
      <w:pPr>
        <w:pStyle w:val="ListParagraph"/>
        <w:numPr>
          <w:ilvl w:val="0"/>
          <w:numId w:val="4"/>
        </w:numPr>
        <w:spacing w:after="200" w:line="276" w:lineRule="auto"/>
        <w:jc w:val="both"/>
        <w:rPr>
          <w:rFonts w:cs="Arial"/>
          <w:color w:val="1C1C1C"/>
          <w:lang w:val="en-US"/>
        </w:rPr>
      </w:pPr>
      <w:r w:rsidRPr="00413D35">
        <w:rPr>
          <w:rFonts w:cs="Arial"/>
          <w:color w:val="1C1C1C"/>
          <w:lang w:val="en-US"/>
        </w:rPr>
        <w:t>If approved, all investment will be subject to reporting requirements (outlined below).</w:t>
      </w:r>
    </w:p>
    <w:p w14:paraId="1C03EE3E" w14:textId="77777777" w:rsidR="00401083" w:rsidRPr="00413D35" w:rsidRDefault="00401083" w:rsidP="00401083">
      <w:pPr>
        <w:pStyle w:val="ListParagraph"/>
        <w:numPr>
          <w:ilvl w:val="0"/>
          <w:numId w:val="4"/>
        </w:numPr>
        <w:spacing w:after="200" w:line="276" w:lineRule="auto"/>
        <w:jc w:val="both"/>
        <w:rPr>
          <w:rFonts w:cs="Arial"/>
          <w:color w:val="1C1C1C"/>
          <w:lang w:val="en-US"/>
        </w:rPr>
      </w:pPr>
      <w:r w:rsidRPr="00413D35">
        <w:rPr>
          <w:rFonts w:cs="Arial"/>
          <w:color w:val="1C1C1C"/>
          <w:lang w:val="en-US"/>
        </w:rPr>
        <w:t>If approved, that all funding is managed appropriately in line with individual organisation’s financial management and assurance processes.</w:t>
      </w:r>
    </w:p>
    <w:p w14:paraId="42C5A095" w14:textId="77777777" w:rsidR="006118A5" w:rsidRDefault="006118A5" w:rsidP="00401083">
      <w:pPr>
        <w:jc w:val="both"/>
        <w:rPr>
          <w:rFonts w:cs="Arial"/>
          <w:b/>
          <w:bCs/>
          <w:color w:val="003893"/>
          <w:sz w:val="28"/>
          <w:szCs w:val="28"/>
        </w:rPr>
      </w:pPr>
    </w:p>
    <w:p w14:paraId="2CDD7D6F" w14:textId="527738AA" w:rsidR="00401083" w:rsidRPr="00B07B65" w:rsidRDefault="00401083" w:rsidP="00401083">
      <w:pPr>
        <w:jc w:val="both"/>
        <w:rPr>
          <w:rFonts w:cs="Arial"/>
          <w:b/>
          <w:bCs/>
          <w:color w:val="003893"/>
          <w:sz w:val="28"/>
          <w:szCs w:val="28"/>
        </w:rPr>
      </w:pPr>
      <w:r w:rsidRPr="00B07B65">
        <w:rPr>
          <w:rFonts w:cs="Arial"/>
          <w:b/>
          <w:bCs/>
          <w:color w:val="003893"/>
          <w:sz w:val="28"/>
          <w:szCs w:val="28"/>
        </w:rPr>
        <w:t>Reporting and monitoring investment</w:t>
      </w:r>
    </w:p>
    <w:p w14:paraId="0A957180" w14:textId="77777777" w:rsidR="009F3C7D" w:rsidRDefault="009F3C7D" w:rsidP="00401083">
      <w:pPr>
        <w:jc w:val="both"/>
        <w:rPr>
          <w:rFonts w:cs="Arial"/>
          <w:color w:val="005EB8" w:themeColor="text1"/>
        </w:rPr>
      </w:pPr>
    </w:p>
    <w:p w14:paraId="4821CF6F" w14:textId="2FC70005" w:rsidR="00401083" w:rsidRPr="00413D35" w:rsidRDefault="0098626C" w:rsidP="00D305F3">
      <w:pPr>
        <w:spacing w:after="24" w:line="276" w:lineRule="auto"/>
        <w:jc w:val="both"/>
        <w:rPr>
          <w:rFonts w:cs="Arial"/>
          <w:color w:val="1C1C1C"/>
        </w:rPr>
      </w:pPr>
      <w:r w:rsidRPr="00413D35">
        <w:rPr>
          <w:rFonts w:cs="Arial"/>
          <w:color w:val="1C1C1C"/>
        </w:rPr>
        <w:t>NHSE SE</w:t>
      </w:r>
      <w:r w:rsidR="009F3C7D" w:rsidRPr="00413D35">
        <w:rPr>
          <w:rFonts w:cs="Arial"/>
          <w:color w:val="1C1C1C"/>
        </w:rPr>
        <w:t xml:space="preserve"> </w:t>
      </w:r>
      <w:r w:rsidR="00401083" w:rsidRPr="00413D35">
        <w:rPr>
          <w:rFonts w:cs="Arial"/>
          <w:color w:val="1C1C1C"/>
        </w:rPr>
        <w:t xml:space="preserve">are required to provide full details of </w:t>
      </w:r>
      <w:r w:rsidRPr="00413D35">
        <w:rPr>
          <w:rFonts w:cs="Arial"/>
          <w:color w:val="1C1C1C"/>
        </w:rPr>
        <w:t>the use of this</w:t>
      </w:r>
      <w:r w:rsidR="00401083" w:rsidRPr="00413D35">
        <w:rPr>
          <w:rFonts w:cs="Arial"/>
          <w:color w:val="1C1C1C"/>
        </w:rPr>
        <w:t xml:space="preserve"> funding to the national </w:t>
      </w:r>
      <w:r w:rsidRPr="00413D35">
        <w:rPr>
          <w:rFonts w:cs="Arial"/>
          <w:color w:val="1C1C1C"/>
        </w:rPr>
        <w:t>NHSE</w:t>
      </w:r>
      <w:r w:rsidR="00401083" w:rsidRPr="00413D35">
        <w:rPr>
          <w:rFonts w:cs="Arial"/>
          <w:color w:val="1C1C1C"/>
        </w:rPr>
        <w:t xml:space="preserve"> Cancer and Diagnostics programme so that investment can be appropriately reported. </w:t>
      </w:r>
      <w:r w:rsidR="007E6CF5" w:rsidRPr="00413D35">
        <w:rPr>
          <w:rFonts w:cs="Arial"/>
          <w:color w:val="1C1C1C"/>
        </w:rPr>
        <w:t>Where funding has been used to support an individual, t</w:t>
      </w:r>
      <w:r w:rsidR="00401083" w:rsidRPr="00413D35">
        <w:rPr>
          <w:rFonts w:cs="Arial"/>
          <w:color w:val="1C1C1C"/>
        </w:rPr>
        <w:t>he national</w:t>
      </w:r>
      <w:r w:rsidR="009F3C7D" w:rsidRPr="00413D35">
        <w:rPr>
          <w:rFonts w:cs="Arial"/>
          <w:color w:val="1C1C1C"/>
        </w:rPr>
        <w:t xml:space="preserve"> </w:t>
      </w:r>
      <w:r w:rsidR="00401083" w:rsidRPr="00413D35">
        <w:rPr>
          <w:rFonts w:cs="Arial"/>
          <w:color w:val="1C1C1C"/>
        </w:rPr>
        <w:t xml:space="preserve">Programme </w:t>
      </w:r>
      <w:r w:rsidR="00A9515C" w:rsidRPr="00413D35">
        <w:rPr>
          <w:rFonts w:cs="Arial"/>
          <w:color w:val="1C1C1C"/>
        </w:rPr>
        <w:t>team may</w:t>
      </w:r>
      <w:r w:rsidR="00A77A6B" w:rsidRPr="00413D35">
        <w:rPr>
          <w:rFonts w:cs="Arial"/>
          <w:color w:val="1C1C1C"/>
        </w:rPr>
        <w:t xml:space="preserve"> </w:t>
      </w:r>
      <w:r w:rsidR="00401083" w:rsidRPr="00413D35">
        <w:rPr>
          <w:rFonts w:cs="Arial"/>
          <w:color w:val="1C1C1C"/>
        </w:rPr>
        <w:t xml:space="preserve">keep a database of participant </w:t>
      </w:r>
      <w:r w:rsidRPr="00413D35">
        <w:rPr>
          <w:rFonts w:cs="Arial"/>
          <w:color w:val="1C1C1C"/>
        </w:rPr>
        <w:t>details</w:t>
      </w:r>
      <w:r w:rsidR="00401083" w:rsidRPr="00413D35">
        <w:rPr>
          <w:rFonts w:cs="Arial"/>
          <w:color w:val="1C1C1C"/>
        </w:rPr>
        <w:t xml:space="preserve"> (to include role, Trust, HEI/training provider).</w:t>
      </w:r>
    </w:p>
    <w:p w14:paraId="6E8AB405" w14:textId="77777777" w:rsidR="009F3C7D" w:rsidRPr="00413D35" w:rsidRDefault="009F3C7D" w:rsidP="00D305F3">
      <w:pPr>
        <w:spacing w:after="24" w:line="276" w:lineRule="auto"/>
        <w:jc w:val="both"/>
        <w:rPr>
          <w:rFonts w:cs="Arial"/>
          <w:color w:val="1C1C1C"/>
        </w:rPr>
      </w:pPr>
    </w:p>
    <w:p w14:paraId="49B4F5DD" w14:textId="3F5B5E41" w:rsidR="005E7828" w:rsidRPr="00940B70" w:rsidRDefault="00ED7944" w:rsidP="00940B70">
      <w:pPr>
        <w:tabs>
          <w:tab w:val="left" w:pos="1985"/>
        </w:tabs>
        <w:spacing w:after="24" w:line="276" w:lineRule="auto"/>
        <w:jc w:val="both"/>
        <w:rPr>
          <w:rFonts w:cs="Arial"/>
          <w:color w:val="1C1C1C"/>
        </w:rPr>
      </w:pPr>
      <w:r w:rsidRPr="00ED7944">
        <w:rPr>
          <w:rFonts w:cs="Arial"/>
          <w:color w:val="1C1C1C"/>
        </w:rPr>
        <w:t xml:space="preserve">Organisations receiving this funding will be required to provide twice-yearly updates [Sept 2024 and Feb/March 2025] relating to the status of each individual learner; guidance and templates will be provided later in the year.  </w:t>
      </w:r>
    </w:p>
    <w:p w14:paraId="5F2D34BC" w14:textId="77777777" w:rsidR="00D9504F" w:rsidRPr="003745E9" w:rsidRDefault="00D9504F" w:rsidP="00D9504F">
      <w:pPr>
        <w:jc w:val="both"/>
        <w:rPr>
          <w:rFonts w:asciiTheme="minorHAnsi" w:hAnsiTheme="minorHAnsi" w:cstheme="minorHAnsi"/>
          <w:iCs/>
          <w:color w:val="005EB8" w:themeColor="text1"/>
          <w:sz w:val="36"/>
          <w:szCs w:val="36"/>
        </w:rPr>
      </w:pPr>
    </w:p>
    <w:p w14:paraId="179E0620" w14:textId="77777777" w:rsidR="002F2E35" w:rsidRPr="003745E9" w:rsidRDefault="002F2E35" w:rsidP="002F2E35">
      <w:pPr>
        <w:jc w:val="both"/>
        <w:rPr>
          <w:rFonts w:asciiTheme="minorHAnsi" w:hAnsiTheme="minorHAnsi" w:cstheme="minorHAnsi"/>
          <w:b/>
          <w:bCs/>
          <w:iCs/>
          <w:color w:val="003893"/>
          <w:sz w:val="28"/>
          <w:szCs w:val="28"/>
        </w:rPr>
      </w:pPr>
      <w:r w:rsidRPr="003745E9">
        <w:rPr>
          <w:rFonts w:asciiTheme="minorHAnsi" w:hAnsiTheme="minorHAnsi" w:cstheme="minorHAnsi"/>
          <w:b/>
          <w:bCs/>
          <w:iCs/>
          <w:color w:val="003893"/>
          <w:sz w:val="28"/>
          <w:szCs w:val="28"/>
        </w:rPr>
        <w:t>The NHSE Educator Workforce Strategy 2023</w:t>
      </w:r>
    </w:p>
    <w:p w14:paraId="245DBABD" w14:textId="77777777" w:rsidR="002F2E35" w:rsidRPr="003745E9" w:rsidRDefault="002F2E35" w:rsidP="002F2E35">
      <w:pPr>
        <w:jc w:val="both"/>
        <w:rPr>
          <w:rFonts w:asciiTheme="minorHAnsi" w:hAnsiTheme="minorHAnsi" w:cstheme="minorHAnsi"/>
          <w:iCs/>
          <w:color w:val="000000"/>
        </w:rPr>
      </w:pPr>
    </w:p>
    <w:p w14:paraId="3AD1B895" w14:textId="77777777" w:rsidR="002F2E35" w:rsidRPr="003745E9" w:rsidRDefault="002F2E35" w:rsidP="002F2E35">
      <w:pPr>
        <w:jc w:val="both"/>
        <w:rPr>
          <w:rFonts w:asciiTheme="minorHAnsi" w:hAnsiTheme="minorHAnsi" w:cstheme="minorHAnsi"/>
          <w:iCs/>
          <w:color w:val="1C1C1C"/>
        </w:rPr>
      </w:pPr>
      <w:r w:rsidRPr="003745E9">
        <w:rPr>
          <w:rFonts w:asciiTheme="minorHAnsi" w:hAnsiTheme="minorHAnsi" w:cstheme="minorHAnsi"/>
          <w:iCs/>
          <w:color w:val="1C1C1C"/>
        </w:rPr>
        <w:t xml:space="preserve">NHS England (NHSE) published the </w:t>
      </w:r>
      <w:hyperlink r:id="rId17" w:history="1">
        <w:r w:rsidRPr="003745E9">
          <w:rPr>
            <w:rStyle w:val="Hyperlink"/>
            <w:rFonts w:asciiTheme="minorHAnsi" w:hAnsiTheme="minorHAnsi" w:cstheme="minorHAnsi"/>
            <w:iCs/>
          </w:rPr>
          <w:t>Educator Workforce Strategy</w:t>
        </w:r>
      </w:hyperlink>
      <w:r w:rsidRPr="003745E9">
        <w:rPr>
          <w:rFonts w:asciiTheme="minorHAnsi" w:hAnsiTheme="minorHAnsi" w:cstheme="minorHAnsi"/>
          <w:iCs/>
          <w:color w:val="000000"/>
        </w:rPr>
        <w:t xml:space="preserve"> (2023) </w:t>
      </w:r>
      <w:r w:rsidRPr="003745E9">
        <w:rPr>
          <w:rFonts w:asciiTheme="minorHAnsi" w:hAnsiTheme="minorHAnsi" w:cstheme="minorHAnsi"/>
          <w:iCs/>
          <w:color w:val="1C1C1C"/>
        </w:rPr>
        <w:t xml:space="preserve">which sets out actions to support the provision of educators which will enable growth in the healthcare workforce that is required to deliver care, now and in the future. The strategy has seven strategic priorities that underpins future PE planning and provision. </w:t>
      </w:r>
    </w:p>
    <w:p w14:paraId="1AA2F064" w14:textId="77777777" w:rsidR="002F2E35" w:rsidRPr="003745E9" w:rsidRDefault="002F2E35" w:rsidP="002F2E35">
      <w:pPr>
        <w:jc w:val="both"/>
        <w:rPr>
          <w:rFonts w:asciiTheme="minorHAnsi" w:hAnsiTheme="minorHAnsi" w:cstheme="minorHAnsi"/>
          <w:iCs/>
          <w:color w:val="1C1C1C"/>
        </w:rPr>
      </w:pPr>
    </w:p>
    <w:p w14:paraId="77ECF202" w14:textId="77777777" w:rsidR="002F2E35" w:rsidRPr="003745E9" w:rsidRDefault="002F2E35" w:rsidP="002F2E35">
      <w:pPr>
        <w:jc w:val="both"/>
        <w:rPr>
          <w:rFonts w:asciiTheme="minorHAnsi" w:hAnsiTheme="minorHAnsi" w:cstheme="minorHAnsi"/>
          <w:iCs/>
          <w:color w:val="1C1C1C"/>
        </w:rPr>
      </w:pPr>
      <w:r w:rsidRPr="003745E9">
        <w:rPr>
          <w:rFonts w:asciiTheme="minorHAnsi" w:hAnsiTheme="minorHAnsi" w:cstheme="minorHAnsi"/>
          <w:iCs/>
          <w:color w:val="1C1C1C"/>
        </w:rPr>
        <w:t xml:space="preserve">The Educator Workforce Strategy complements the </w:t>
      </w:r>
      <w:hyperlink r:id="rId18" w:history="1">
        <w:r w:rsidRPr="003745E9">
          <w:rPr>
            <w:rStyle w:val="Hyperlink"/>
            <w:rFonts w:asciiTheme="minorHAnsi" w:hAnsiTheme="minorHAnsi" w:cstheme="minorHAnsi"/>
            <w:iCs/>
          </w:rPr>
          <w:t>NHS Long Term Workforce Plan (2023)</w:t>
        </w:r>
      </w:hyperlink>
      <w:r w:rsidRPr="003745E9">
        <w:rPr>
          <w:rFonts w:asciiTheme="minorHAnsi" w:hAnsiTheme="minorHAnsi" w:cstheme="minorHAnsi"/>
          <w:iCs/>
        </w:rPr>
        <w:t xml:space="preserve"> </w:t>
      </w:r>
      <w:r w:rsidRPr="003745E9">
        <w:rPr>
          <w:rFonts w:asciiTheme="minorHAnsi" w:hAnsiTheme="minorHAnsi" w:cstheme="minorHAnsi"/>
          <w:iCs/>
          <w:color w:val="1C1C1C"/>
        </w:rPr>
        <w:t>and presents an opportunity to rethink the approach to enabling and sustaining high quality healthcare education and training. It calls for a re-evaluation of the roles of educators across healthcare professions to ensure that we maximise evidence-based benefits and efficiencies in opportunities to both learn inter-professionally and learn from one another.</w:t>
      </w:r>
    </w:p>
    <w:p w14:paraId="140EDA5A" w14:textId="77777777" w:rsidR="00E72EC2" w:rsidRPr="00E72EC2" w:rsidRDefault="00E72EC2" w:rsidP="00E72EC2">
      <w:pPr>
        <w:spacing w:after="150"/>
        <w:ind w:left="720"/>
        <w:rPr>
          <w:rFonts w:asciiTheme="minorHAnsi" w:hAnsiTheme="minorHAnsi" w:cstheme="minorHAnsi"/>
        </w:rPr>
      </w:pPr>
    </w:p>
    <w:p w14:paraId="0424244D" w14:textId="77777777" w:rsidR="00401083" w:rsidRPr="002C7FD2" w:rsidRDefault="00401083" w:rsidP="00401083">
      <w:pPr>
        <w:jc w:val="both"/>
        <w:rPr>
          <w:rFonts w:cs="Arial"/>
          <w:iCs/>
          <w:sz w:val="28"/>
          <w:szCs w:val="28"/>
        </w:rPr>
      </w:pPr>
      <w:r w:rsidRPr="002C7FD2">
        <w:rPr>
          <w:rFonts w:cs="Arial"/>
          <w:b/>
          <w:bCs/>
          <w:iCs/>
          <w:color w:val="003893"/>
          <w:sz w:val="28"/>
          <w:szCs w:val="28"/>
        </w:rPr>
        <w:t>Who to contact if you have any queries on this offer?</w:t>
      </w:r>
    </w:p>
    <w:p w14:paraId="032A35F0" w14:textId="55AA988F" w:rsidR="00933394" w:rsidRDefault="00933394" w:rsidP="00B07B65">
      <w:pPr>
        <w:jc w:val="both"/>
        <w:rPr>
          <w:rFonts w:cs="Arial"/>
          <w:iCs/>
        </w:rPr>
      </w:pPr>
    </w:p>
    <w:p w14:paraId="0CAB936C" w14:textId="275E9869" w:rsidR="00E37D39" w:rsidRDefault="00B07B65" w:rsidP="00B07B65">
      <w:pPr>
        <w:jc w:val="both"/>
        <w:rPr>
          <w:rFonts w:asciiTheme="minorHAnsi" w:hAnsiTheme="minorHAnsi" w:cstheme="minorHAnsi"/>
        </w:rPr>
      </w:pPr>
      <w:r w:rsidRPr="00413D35">
        <w:rPr>
          <w:rFonts w:cs="Arial"/>
          <w:iCs/>
          <w:color w:val="1C1C1C"/>
        </w:rPr>
        <w:t xml:space="preserve">The </w:t>
      </w:r>
      <w:r w:rsidR="008A2EE5" w:rsidRPr="00413D35">
        <w:rPr>
          <w:rFonts w:cs="Arial"/>
          <w:iCs/>
          <w:color w:val="1C1C1C"/>
        </w:rPr>
        <w:t>NHSE</w:t>
      </w:r>
      <w:r w:rsidRPr="00413D35">
        <w:rPr>
          <w:rFonts w:cs="Arial"/>
          <w:iCs/>
          <w:color w:val="1C1C1C"/>
        </w:rPr>
        <w:t xml:space="preserve"> SE Cancer and Diagnostics Programme </w:t>
      </w:r>
      <w:r>
        <w:rPr>
          <w:rFonts w:cs="Arial"/>
          <w:iCs/>
        </w:rPr>
        <w:t xml:space="preserve">- </w:t>
      </w:r>
      <w:hyperlink r:id="rId19" w:history="1">
        <w:r w:rsidR="00EA543A" w:rsidRPr="00287752">
          <w:rPr>
            <w:rStyle w:val="Hyperlink"/>
          </w:rPr>
          <w:t>england.canceranddiagnostics.se@nhs.net</w:t>
        </w:r>
      </w:hyperlink>
    </w:p>
    <w:p w14:paraId="1FE7B8C7" w14:textId="413EC062" w:rsidR="00B07B65" w:rsidRPr="00671357" w:rsidRDefault="00E37D39" w:rsidP="00671357">
      <w:pPr>
        <w:rPr>
          <w:rFonts w:asciiTheme="minorHAnsi" w:hAnsiTheme="minorHAnsi" w:cstheme="minorHAnsi"/>
        </w:rPr>
      </w:pPr>
      <w:r>
        <w:rPr>
          <w:rFonts w:asciiTheme="minorHAnsi" w:hAnsiTheme="minorHAnsi" w:cstheme="minorHAnsi"/>
        </w:rPr>
        <w:br w:type="page"/>
      </w:r>
      <w:r w:rsidRPr="00E37D39">
        <w:rPr>
          <w:b/>
          <w:bCs/>
          <w:color w:val="00A9CE"/>
          <w:sz w:val="36"/>
          <w:szCs w:val="36"/>
        </w:rPr>
        <w:lastRenderedPageBreak/>
        <w:t xml:space="preserve">Frequently Asked Questions </w:t>
      </w:r>
    </w:p>
    <w:p w14:paraId="031B92C5" w14:textId="77777777" w:rsidR="00F808E1" w:rsidRDefault="00F808E1" w:rsidP="00B07B65">
      <w:pPr>
        <w:jc w:val="both"/>
        <w:rPr>
          <w:b/>
          <w:bCs/>
          <w:color w:val="00A9CE"/>
          <w:sz w:val="36"/>
          <w:szCs w:val="36"/>
        </w:rPr>
      </w:pPr>
    </w:p>
    <w:tbl>
      <w:tblPr>
        <w:tblStyle w:val="TableGrid"/>
        <w:tblW w:w="0" w:type="auto"/>
        <w:tblLook w:val="04A0" w:firstRow="1" w:lastRow="0" w:firstColumn="1" w:lastColumn="0" w:noHBand="0" w:noVBand="1"/>
      </w:tblPr>
      <w:tblGrid>
        <w:gridCol w:w="704"/>
        <w:gridCol w:w="3260"/>
        <w:gridCol w:w="6224"/>
      </w:tblGrid>
      <w:tr w:rsidR="00477C30" w:rsidRPr="00334EDD" w14:paraId="44548EA0" w14:textId="77777777" w:rsidTr="00E32246">
        <w:trPr>
          <w:trHeight w:val="682"/>
        </w:trPr>
        <w:tc>
          <w:tcPr>
            <w:tcW w:w="3964" w:type="dxa"/>
            <w:gridSpan w:val="2"/>
            <w:shd w:val="clear" w:color="auto" w:fill="002060"/>
            <w:vAlign w:val="center"/>
          </w:tcPr>
          <w:p w14:paraId="243A01DB" w14:textId="3D501FF3" w:rsidR="00477C30" w:rsidRPr="00334EDD" w:rsidRDefault="00477C30" w:rsidP="00B07B65">
            <w:pPr>
              <w:jc w:val="both"/>
              <w:rPr>
                <w:b/>
                <w:bCs/>
                <w:color w:val="FFFFFF" w:themeColor="background1"/>
                <w:sz w:val="24"/>
                <w:szCs w:val="24"/>
              </w:rPr>
            </w:pPr>
            <w:r w:rsidRPr="00334EDD">
              <w:rPr>
                <w:b/>
                <w:bCs/>
                <w:color w:val="FFFFFF" w:themeColor="background1"/>
                <w:sz w:val="24"/>
                <w:szCs w:val="24"/>
              </w:rPr>
              <w:t>Question</w:t>
            </w:r>
          </w:p>
        </w:tc>
        <w:tc>
          <w:tcPr>
            <w:tcW w:w="6224" w:type="dxa"/>
            <w:shd w:val="clear" w:color="auto" w:fill="002060"/>
            <w:vAlign w:val="center"/>
          </w:tcPr>
          <w:p w14:paraId="60660181" w14:textId="7E291518" w:rsidR="00477C30" w:rsidRPr="00334EDD" w:rsidRDefault="00477C30" w:rsidP="00B07B65">
            <w:pPr>
              <w:jc w:val="both"/>
              <w:rPr>
                <w:b/>
                <w:bCs/>
                <w:color w:val="FFFFFF" w:themeColor="background1"/>
                <w:sz w:val="24"/>
                <w:szCs w:val="24"/>
              </w:rPr>
            </w:pPr>
            <w:r w:rsidRPr="00334EDD">
              <w:rPr>
                <w:b/>
                <w:bCs/>
                <w:color w:val="FFFFFF" w:themeColor="background1"/>
                <w:sz w:val="24"/>
                <w:szCs w:val="24"/>
              </w:rPr>
              <w:t xml:space="preserve">Response </w:t>
            </w:r>
          </w:p>
        </w:tc>
      </w:tr>
      <w:tr w:rsidR="009400BD" w:rsidRPr="00334EDD" w14:paraId="4CBA8CEF" w14:textId="77777777" w:rsidTr="00E32246">
        <w:tc>
          <w:tcPr>
            <w:tcW w:w="704" w:type="dxa"/>
          </w:tcPr>
          <w:p w14:paraId="3B85254C" w14:textId="4B3D70E0" w:rsidR="009400BD" w:rsidRPr="00334EDD" w:rsidRDefault="00EC522E" w:rsidP="00B07B65">
            <w:pPr>
              <w:jc w:val="both"/>
              <w:rPr>
                <w:color w:val="333333"/>
                <w:sz w:val="24"/>
                <w:szCs w:val="24"/>
              </w:rPr>
            </w:pPr>
            <w:r w:rsidRPr="00334EDD">
              <w:rPr>
                <w:color w:val="333333"/>
                <w:sz w:val="24"/>
                <w:szCs w:val="24"/>
              </w:rPr>
              <w:t>1</w:t>
            </w:r>
          </w:p>
        </w:tc>
        <w:tc>
          <w:tcPr>
            <w:tcW w:w="3260" w:type="dxa"/>
          </w:tcPr>
          <w:p w14:paraId="7DF4A30E" w14:textId="16EEF9AF" w:rsidR="00A622DB" w:rsidRPr="00334EDD" w:rsidRDefault="002E7821" w:rsidP="00F808E1">
            <w:pPr>
              <w:jc w:val="both"/>
              <w:rPr>
                <w:color w:val="333333"/>
                <w:sz w:val="24"/>
                <w:szCs w:val="24"/>
              </w:rPr>
            </w:pPr>
            <w:r>
              <w:rPr>
                <w:color w:val="333333"/>
                <w:sz w:val="24"/>
                <w:szCs w:val="24"/>
              </w:rPr>
              <w:t xml:space="preserve">Can this funding be used for surgical/medical </w:t>
            </w:r>
            <w:r w:rsidR="002310E8">
              <w:rPr>
                <w:color w:val="333333"/>
                <w:sz w:val="24"/>
                <w:szCs w:val="24"/>
              </w:rPr>
              <w:t>practice educators?</w:t>
            </w:r>
          </w:p>
        </w:tc>
        <w:tc>
          <w:tcPr>
            <w:tcW w:w="6224" w:type="dxa"/>
          </w:tcPr>
          <w:p w14:paraId="2D20571C" w14:textId="5794BD88" w:rsidR="009400BD" w:rsidRPr="00334EDD" w:rsidRDefault="00D96FB9" w:rsidP="00B07B65">
            <w:pPr>
              <w:jc w:val="both"/>
              <w:rPr>
                <w:color w:val="333333"/>
                <w:sz w:val="24"/>
                <w:szCs w:val="24"/>
              </w:rPr>
            </w:pPr>
            <w:r>
              <w:rPr>
                <w:color w:val="333333"/>
                <w:sz w:val="24"/>
                <w:szCs w:val="24"/>
              </w:rPr>
              <w:t>No, t</w:t>
            </w:r>
            <w:r w:rsidR="002310E8">
              <w:rPr>
                <w:color w:val="333333"/>
                <w:sz w:val="24"/>
                <w:szCs w:val="24"/>
              </w:rPr>
              <w:t>his funding</w:t>
            </w:r>
            <w:r>
              <w:rPr>
                <w:color w:val="333333"/>
                <w:sz w:val="24"/>
                <w:szCs w:val="24"/>
              </w:rPr>
              <w:t xml:space="preserve"> stream</w:t>
            </w:r>
            <w:r w:rsidR="002310E8">
              <w:rPr>
                <w:color w:val="333333"/>
                <w:sz w:val="24"/>
                <w:szCs w:val="24"/>
              </w:rPr>
              <w:t xml:space="preserve"> is</w:t>
            </w:r>
            <w:r>
              <w:rPr>
                <w:color w:val="333333"/>
                <w:sz w:val="24"/>
                <w:szCs w:val="24"/>
              </w:rPr>
              <w:t xml:space="preserve"> for</w:t>
            </w:r>
            <w:r w:rsidR="002310E8">
              <w:rPr>
                <w:color w:val="333333"/>
                <w:sz w:val="24"/>
                <w:szCs w:val="24"/>
              </w:rPr>
              <w:t xml:space="preserve"> </w:t>
            </w:r>
            <w:r>
              <w:rPr>
                <w:color w:val="333333"/>
                <w:sz w:val="24"/>
                <w:szCs w:val="24"/>
              </w:rPr>
              <w:t xml:space="preserve">practice educators from a nursing/ decontamination background. </w:t>
            </w:r>
          </w:p>
        </w:tc>
      </w:tr>
      <w:tr w:rsidR="00EC522E" w:rsidRPr="00334EDD" w14:paraId="34095679" w14:textId="77777777" w:rsidTr="00E32246">
        <w:trPr>
          <w:trHeight w:val="893"/>
        </w:trPr>
        <w:tc>
          <w:tcPr>
            <w:tcW w:w="704" w:type="dxa"/>
          </w:tcPr>
          <w:p w14:paraId="63A129A6" w14:textId="2E2234BE" w:rsidR="00EC522E" w:rsidRPr="00334EDD" w:rsidRDefault="00EC522E" w:rsidP="00EC522E">
            <w:pPr>
              <w:jc w:val="both"/>
              <w:rPr>
                <w:color w:val="333333"/>
                <w:sz w:val="24"/>
                <w:szCs w:val="24"/>
              </w:rPr>
            </w:pPr>
            <w:r w:rsidRPr="00334EDD">
              <w:rPr>
                <w:color w:val="333333"/>
                <w:sz w:val="24"/>
                <w:szCs w:val="24"/>
              </w:rPr>
              <w:t>2</w:t>
            </w:r>
          </w:p>
        </w:tc>
        <w:tc>
          <w:tcPr>
            <w:tcW w:w="3260" w:type="dxa"/>
          </w:tcPr>
          <w:p w14:paraId="38C7BFAA" w14:textId="1E73B288" w:rsidR="00EC522E" w:rsidRPr="00334EDD" w:rsidRDefault="007B57EB" w:rsidP="00EC522E">
            <w:pPr>
              <w:jc w:val="both"/>
              <w:rPr>
                <w:color w:val="333333"/>
                <w:sz w:val="24"/>
                <w:szCs w:val="24"/>
              </w:rPr>
            </w:pPr>
            <w:r>
              <w:rPr>
                <w:color w:val="333333"/>
                <w:sz w:val="24"/>
                <w:szCs w:val="24"/>
              </w:rPr>
              <w:t>We have practice educators in endoscopy as part of our current establishment. Can we use this funding to pay their salary?</w:t>
            </w:r>
          </w:p>
        </w:tc>
        <w:tc>
          <w:tcPr>
            <w:tcW w:w="6224" w:type="dxa"/>
          </w:tcPr>
          <w:p w14:paraId="2E2B4376" w14:textId="0DD98C75" w:rsidR="00213E7B" w:rsidRDefault="00213E7B" w:rsidP="00EC522E">
            <w:pPr>
              <w:jc w:val="both"/>
              <w:rPr>
                <w:color w:val="333333"/>
                <w:sz w:val="24"/>
                <w:szCs w:val="24"/>
              </w:rPr>
            </w:pPr>
            <w:r>
              <w:rPr>
                <w:color w:val="333333"/>
                <w:sz w:val="24"/>
                <w:szCs w:val="24"/>
              </w:rPr>
              <w:t>This funding should not be used for roles that Trusts are already funding. This funding could be used to increase the time of a practice educator</w:t>
            </w:r>
            <w:r w:rsidR="004905DE">
              <w:rPr>
                <w:color w:val="333333"/>
                <w:sz w:val="24"/>
                <w:szCs w:val="24"/>
              </w:rPr>
              <w:t>, for example if the Trust funds 1 day per week, this funding could support an additional day in post.</w:t>
            </w:r>
          </w:p>
          <w:p w14:paraId="2996432C" w14:textId="77777777" w:rsidR="00213E7B" w:rsidRDefault="00213E7B" w:rsidP="00EC522E">
            <w:pPr>
              <w:jc w:val="both"/>
              <w:rPr>
                <w:color w:val="333333"/>
                <w:sz w:val="24"/>
                <w:szCs w:val="24"/>
              </w:rPr>
            </w:pPr>
          </w:p>
          <w:p w14:paraId="682A4CBD" w14:textId="51FC994A" w:rsidR="00EC522E" w:rsidRDefault="00306469" w:rsidP="00EC522E">
            <w:pPr>
              <w:jc w:val="both"/>
              <w:rPr>
                <w:color w:val="333333"/>
                <w:sz w:val="24"/>
                <w:szCs w:val="24"/>
              </w:rPr>
            </w:pPr>
            <w:r>
              <w:rPr>
                <w:color w:val="333333"/>
                <w:sz w:val="24"/>
                <w:szCs w:val="24"/>
              </w:rPr>
              <w:t xml:space="preserve">We encourage Trusts to put business cases forward to have practice educators in endoscopy </w:t>
            </w:r>
            <w:r w:rsidR="00C162D6">
              <w:rPr>
                <w:color w:val="333333"/>
                <w:sz w:val="24"/>
                <w:szCs w:val="24"/>
              </w:rPr>
              <w:t>as</w:t>
            </w:r>
            <w:r>
              <w:rPr>
                <w:color w:val="333333"/>
                <w:sz w:val="24"/>
                <w:szCs w:val="24"/>
              </w:rPr>
              <w:t xml:space="preserve"> part of their  current establishment.</w:t>
            </w:r>
          </w:p>
          <w:p w14:paraId="1257C03D" w14:textId="77777777" w:rsidR="00F27AF4" w:rsidRDefault="00F27AF4" w:rsidP="00EC522E">
            <w:pPr>
              <w:jc w:val="both"/>
              <w:rPr>
                <w:color w:val="333333"/>
                <w:sz w:val="24"/>
                <w:szCs w:val="24"/>
              </w:rPr>
            </w:pPr>
          </w:p>
          <w:p w14:paraId="6210A7FC" w14:textId="2F10D380" w:rsidR="00F27AF4" w:rsidRPr="00334EDD" w:rsidRDefault="00F27AF4" w:rsidP="00EC522E">
            <w:pPr>
              <w:jc w:val="both"/>
              <w:rPr>
                <w:color w:val="333333"/>
                <w:sz w:val="24"/>
                <w:szCs w:val="24"/>
              </w:rPr>
            </w:pPr>
            <w:r>
              <w:rPr>
                <w:color w:val="333333"/>
                <w:sz w:val="24"/>
                <w:szCs w:val="24"/>
              </w:rPr>
              <w:t>To support current practice educators, consider putting forward an expression of interest for upskilling of the current practice educator e.g. PG Cert in Practice Education</w:t>
            </w:r>
          </w:p>
        </w:tc>
      </w:tr>
      <w:tr w:rsidR="00EC522E" w:rsidRPr="00334EDD" w14:paraId="08DB697E" w14:textId="77777777" w:rsidTr="00E32246">
        <w:tc>
          <w:tcPr>
            <w:tcW w:w="704" w:type="dxa"/>
          </w:tcPr>
          <w:p w14:paraId="0F98D849" w14:textId="714E307E" w:rsidR="00EC522E" w:rsidRPr="00334EDD" w:rsidRDefault="00EC522E" w:rsidP="00EC522E">
            <w:pPr>
              <w:jc w:val="both"/>
              <w:rPr>
                <w:color w:val="333333"/>
                <w:sz w:val="24"/>
                <w:szCs w:val="24"/>
              </w:rPr>
            </w:pPr>
            <w:r w:rsidRPr="00334EDD">
              <w:rPr>
                <w:color w:val="333333"/>
                <w:sz w:val="24"/>
                <w:szCs w:val="24"/>
              </w:rPr>
              <w:t>3</w:t>
            </w:r>
          </w:p>
        </w:tc>
        <w:tc>
          <w:tcPr>
            <w:tcW w:w="3260" w:type="dxa"/>
          </w:tcPr>
          <w:p w14:paraId="75AE1D31" w14:textId="7CEF8FB3" w:rsidR="00EC522E" w:rsidRPr="00334EDD" w:rsidRDefault="00F27AF4" w:rsidP="00EC522E">
            <w:pPr>
              <w:jc w:val="both"/>
              <w:rPr>
                <w:color w:val="333333"/>
                <w:sz w:val="24"/>
                <w:szCs w:val="24"/>
              </w:rPr>
            </w:pPr>
            <w:r>
              <w:rPr>
                <w:color w:val="333333"/>
                <w:sz w:val="24"/>
                <w:szCs w:val="24"/>
              </w:rPr>
              <w:t xml:space="preserve">How much </w:t>
            </w:r>
            <w:r w:rsidR="004F4062">
              <w:rPr>
                <w:color w:val="333333"/>
                <w:sz w:val="24"/>
                <w:szCs w:val="24"/>
              </w:rPr>
              <w:t xml:space="preserve">salary </w:t>
            </w:r>
            <w:r>
              <w:rPr>
                <w:color w:val="333333"/>
                <w:sz w:val="24"/>
                <w:szCs w:val="24"/>
              </w:rPr>
              <w:t>funding can</w:t>
            </w:r>
            <w:r w:rsidR="007001E7">
              <w:rPr>
                <w:color w:val="333333"/>
                <w:sz w:val="24"/>
                <w:szCs w:val="24"/>
              </w:rPr>
              <w:t xml:space="preserve"> Trusts</w:t>
            </w:r>
            <w:r>
              <w:rPr>
                <w:color w:val="333333"/>
                <w:sz w:val="24"/>
                <w:szCs w:val="24"/>
              </w:rPr>
              <w:t xml:space="preserve"> apply for?</w:t>
            </w:r>
          </w:p>
        </w:tc>
        <w:tc>
          <w:tcPr>
            <w:tcW w:w="6224" w:type="dxa"/>
          </w:tcPr>
          <w:p w14:paraId="06532A99" w14:textId="0F4A2CF4" w:rsidR="002C1515" w:rsidRDefault="0094142D" w:rsidP="00EC522E">
            <w:pPr>
              <w:jc w:val="both"/>
              <w:rPr>
                <w:color w:val="333333"/>
                <w:sz w:val="24"/>
                <w:szCs w:val="24"/>
              </w:rPr>
            </w:pPr>
            <w:r>
              <w:rPr>
                <w:color w:val="333333"/>
                <w:sz w:val="24"/>
                <w:szCs w:val="24"/>
              </w:rPr>
              <w:t>Trust can apply for funding for a practice educator in endoscopy</w:t>
            </w:r>
            <w:r w:rsidR="00C9564B">
              <w:rPr>
                <w:color w:val="333333"/>
                <w:sz w:val="24"/>
                <w:szCs w:val="24"/>
              </w:rPr>
              <w:t xml:space="preserve"> for</w:t>
            </w:r>
            <w:r>
              <w:rPr>
                <w:color w:val="333333"/>
                <w:sz w:val="24"/>
                <w:szCs w:val="24"/>
              </w:rPr>
              <w:t xml:space="preserve"> </w:t>
            </w:r>
            <w:r w:rsidR="0024068B">
              <w:rPr>
                <w:color w:val="333333"/>
                <w:sz w:val="24"/>
                <w:szCs w:val="24"/>
              </w:rPr>
              <w:t>up to</w:t>
            </w:r>
            <w:r>
              <w:rPr>
                <w:color w:val="333333"/>
                <w:sz w:val="24"/>
                <w:szCs w:val="24"/>
              </w:rPr>
              <w:t xml:space="preserve"> 1 day a week. </w:t>
            </w:r>
          </w:p>
          <w:p w14:paraId="74D580E0" w14:textId="77777777" w:rsidR="002C1515" w:rsidRDefault="002C1515" w:rsidP="00EC522E">
            <w:pPr>
              <w:jc w:val="both"/>
              <w:rPr>
                <w:color w:val="333333"/>
                <w:sz w:val="24"/>
                <w:szCs w:val="24"/>
              </w:rPr>
            </w:pPr>
          </w:p>
          <w:p w14:paraId="337726CD" w14:textId="1563B612" w:rsidR="00EC522E" w:rsidRDefault="00621221" w:rsidP="00EC522E">
            <w:pPr>
              <w:jc w:val="both"/>
              <w:rPr>
                <w:color w:val="333333"/>
                <w:sz w:val="24"/>
                <w:szCs w:val="24"/>
              </w:rPr>
            </w:pPr>
            <w:r>
              <w:rPr>
                <w:color w:val="333333"/>
                <w:sz w:val="24"/>
                <w:szCs w:val="24"/>
              </w:rPr>
              <w:t>However, Trusts requesting higher number of days will need to provide a good reason as to why this is necessary. For example, the role may be covering one Trust, but 4 units</w:t>
            </w:r>
            <w:r w:rsidR="002C1515">
              <w:rPr>
                <w:color w:val="333333"/>
                <w:sz w:val="24"/>
                <w:szCs w:val="24"/>
              </w:rPr>
              <w:t xml:space="preserve"> across a</w:t>
            </w:r>
            <w:r w:rsidR="00467BF3">
              <w:rPr>
                <w:color w:val="333333"/>
                <w:sz w:val="24"/>
                <w:szCs w:val="24"/>
              </w:rPr>
              <w:t>n area</w:t>
            </w:r>
            <w:r w:rsidR="00FB433F">
              <w:rPr>
                <w:color w:val="333333"/>
                <w:sz w:val="24"/>
                <w:szCs w:val="24"/>
              </w:rPr>
              <w:t xml:space="preserve"> or </w:t>
            </w:r>
            <w:r w:rsidR="009D6515">
              <w:rPr>
                <w:color w:val="333333"/>
                <w:sz w:val="24"/>
                <w:szCs w:val="24"/>
              </w:rPr>
              <w:t xml:space="preserve">the individual </w:t>
            </w:r>
            <w:r w:rsidR="008E0814">
              <w:rPr>
                <w:color w:val="333333"/>
                <w:sz w:val="24"/>
                <w:szCs w:val="24"/>
              </w:rPr>
              <w:t>is faculty for numerous courses that benefit the South East</w:t>
            </w:r>
            <w:r w:rsidR="002C1515">
              <w:rPr>
                <w:color w:val="333333"/>
                <w:sz w:val="24"/>
                <w:szCs w:val="24"/>
              </w:rPr>
              <w:t xml:space="preserve">. </w:t>
            </w:r>
          </w:p>
          <w:p w14:paraId="3F8CEE53" w14:textId="77777777" w:rsidR="002C1515" w:rsidRDefault="002C1515" w:rsidP="00EC522E">
            <w:pPr>
              <w:jc w:val="both"/>
              <w:rPr>
                <w:color w:val="333333"/>
                <w:sz w:val="24"/>
                <w:szCs w:val="24"/>
              </w:rPr>
            </w:pPr>
          </w:p>
          <w:p w14:paraId="33A2D53E" w14:textId="61B01046" w:rsidR="00D27D99" w:rsidRPr="00334EDD" w:rsidRDefault="00D27D99" w:rsidP="00EC522E">
            <w:pPr>
              <w:jc w:val="both"/>
              <w:rPr>
                <w:color w:val="333333"/>
                <w:sz w:val="24"/>
                <w:szCs w:val="24"/>
              </w:rPr>
            </w:pPr>
            <w:r>
              <w:rPr>
                <w:color w:val="333333"/>
                <w:sz w:val="24"/>
                <w:szCs w:val="24"/>
              </w:rPr>
              <w:t>When detailing costings</w:t>
            </w:r>
            <w:r w:rsidR="005F3C25">
              <w:rPr>
                <w:color w:val="333333"/>
                <w:sz w:val="24"/>
                <w:szCs w:val="24"/>
              </w:rPr>
              <w:t xml:space="preserve"> for Practice educators for more than 1 day a week</w:t>
            </w:r>
            <w:r>
              <w:rPr>
                <w:color w:val="333333"/>
                <w:sz w:val="24"/>
                <w:szCs w:val="24"/>
              </w:rPr>
              <w:t>, please</w:t>
            </w:r>
            <w:r w:rsidR="005F3C25">
              <w:rPr>
                <w:color w:val="333333"/>
                <w:sz w:val="24"/>
                <w:szCs w:val="24"/>
              </w:rPr>
              <w:t xml:space="preserve"> also state costings for just 1 day a week</w:t>
            </w:r>
            <w:r w:rsidR="007E282F">
              <w:rPr>
                <w:color w:val="333333"/>
                <w:sz w:val="24"/>
                <w:szCs w:val="24"/>
              </w:rPr>
              <w:t xml:space="preserve">, e.g. </w:t>
            </w:r>
            <w:r w:rsidR="00F07959">
              <w:rPr>
                <w:color w:val="333333"/>
                <w:sz w:val="24"/>
                <w:szCs w:val="24"/>
              </w:rPr>
              <w:t>(</w:t>
            </w:r>
            <w:r w:rsidR="007E282F">
              <w:rPr>
                <w:color w:val="333333"/>
                <w:sz w:val="24"/>
                <w:szCs w:val="24"/>
              </w:rPr>
              <w:t>Preferred</w:t>
            </w:r>
            <w:r w:rsidR="00F07959">
              <w:rPr>
                <w:color w:val="333333"/>
                <w:sz w:val="24"/>
                <w:szCs w:val="24"/>
              </w:rPr>
              <w:t>)</w:t>
            </w:r>
            <w:r w:rsidR="007E282F">
              <w:rPr>
                <w:color w:val="333333"/>
                <w:sz w:val="24"/>
                <w:szCs w:val="24"/>
              </w:rPr>
              <w:t xml:space="preserve"> Option</w:t>
            </w:r>
            <w:r w:rsidR="00F07959">
              <w:rPr>
                <w:color w:val="333333"/>
                <w:sz w:val="24"/>
                <w:szCs w:val="24"/>
              </w:rPr>
              <w:t xml:space="preserve"> 1</w:t>
            </w:r>
            <w:r w:rsidR="007E282F">
              <w:rPr>
                <w:color w:val="333333"/>
                <w:sz w:val="24"/>
                <w:szCs w:val="24"/>
              </w:rPr>
              <w:t xml:space="preserve">: 2 days a week </w:t>
            </w:r>
            <w:r w:rsidR="00F07959">
              <w:rPr>
                <w:color w:val="333333"/>
                <w:sz w:val="24"/>
                <w:szCs w:val="24"/>
              </w:rPr>
              <w:t>at £X; Option 2</w:t>
            </w:r>
            <w:r w:rsidR="00D0114D">
              <w:rPr>
                <w:color w:val="333333"/>
                <w:sz w:val="24"/>
                <w:szCs w:val="24"/>
              </w:rPr>
              <w:t>: 1 day a week at £X</w:t>
            </w:r>
            <w:r w:rsidR="00E55867">
              <w:rPr>
                <w:color w:val="333333"/>
                <w:sz w:val="24"/>
                <w:szCs w:val="24"/>
              </w:rPr>
              <w:t>)</w:t>
            </w:r>
          </w:p>
        </w:tc>
      </w:tr>
      <w:tr w:rsidR="00EC522E" w:rsidRPr="00334EDD" w14:paraId="4122EBC2" w14:textId="77777777" w:rsidTr="00E32246">
        <w:tc>
          <w:tcPr>
            <w:tcW w:w="704" w:type="dxa"/>
          </w:tcPr>
          <w:p w14:paraId="0FD78318" w14:textId="5FA738F3" w:rsidR="00EC522E" w:rsidRPr="00410397" w:rsidRDefault="00EC522E" w:rsidP="00EC522E">
            <w:pPr>
              <w:jc w:val="both"/>
              <w:rPr>
                <w:rFonts w:cstheme="minorHAnsi"/>
                <w:color w:val="333333"/>
                <w:sz w:val="24"/>
                <w:szCs w:val="24"/>
              </w:rPr>
            </w:pPr>
            <w:r w:rsidRPr="00410397">
              <w:rPr>
                <w:rFonts w:cstheme="minorHAnsi"/>
                <w:color w:val="333333"/>
                <w:sz w:val="24"/>
                <w:szCs w:val="24"/>
              </w:rPr>
              <w:t>4</w:t>
            </w:r>
          </w:p>
        </w:tc>
        <w:tc>
          <w:tcPr>
            <w:tcW w:w="3260" w:type="dxa"/>
          </w:tcPr>
          <w:p w14:paraId="59CCE165" w14:textId="2E8EFC97" w:rsidR="00EC522E" w:rsidRPr="00410397" w:rsidRDefault="00DC3883" w:rsidP="00EC522E">
            <w:pPr>
              <w:jc w:val="both"/>
              <w:rPr>
                <w:rFonts w:cstheme="minorHAnsi"/>
                <w:color w:val="333333"/>
                <w:sz w:val="24"/>
                <w:szCs w:val="24"/>
              </w:rPr>
            </w:pPr>
            <w:r w:rsidRPr="00410397">
              <w:rPr>
                <w:rFonts w:cstheme="minorHAnsi"/>
                <w:color w:val="333333"/>
                <w:sz w:val="24"/>
                <w:szCs w:val="24"/>
              </w:rPr>
              <w:t>Can this funding be used to provide kit and equipment?</w:t>
            </w:r>
          </w:p>
        </w:tc>
        <w:tc>
          <w:tcPr>
            <w:tcW w:w="6224" w:type="dxa"/>
          </w:tcPr>
          <w:p w14:paraId="23EFC9F1" w14:textId="230CFCAE" w:rsidR="00EC522E" w:rsidRPr="00410397" w:rsidRDefault="00DC3883" w:rsidP="00EC522E">
            <w:pPr>
              <w:jc w:val="both"/>
              <w:rPr>
                <w:rFonts w:cstheme="minorHAnsi"/>
                <w:color w:val="333333"/>
                <w:sz w:val="24"/>
                <w:szCs w:val="24"/>
              </w:rPr>
            </w:pPr>
            <w:r w:rsidRPr="00410397">
              <w:rPr>
                <w:rFonts w:cstheme="minorHAnsi"/>
                <w:color w:val="333333"/>
                <w:sz w:val="24"/>
                <w:szCs w:val="24"/>
              </w:rPr>
              <w:t xml:space="preserve">This funding is only able to be used for salary and training </w:t>
            </w:r>
            <w:r w:rsidR="00B23CD5" w:rsidRPr="00410397">
              <w:rPr>
                <w:rFonts w:cstheme="minorHAnsi"/>
                <w:color w:val="333333"/>
                <w:sz w:val="24"/>
                <w:szCs w:val="24"/>
              </w:rPr>
              <w:t>opportunities for practice educators in endoscopy.</w:t>
            </w:r>
          </w:p>
        </w:tc>
      </w:tr>
      <w:tr w:rsidR="00410397" w:rsidRPr="00334EDD" w14:paraId="4448C752" w14:textId="77777777" w:rsidTr="00E32246">
        <w:tc>
          <w:tcPr>
            <w:tcW w:w="704" w:type="dxa"/>
          </w:tcPr>
          <w:p w14:paraId="5EEB4990" w14:textId="02EE53A7" w:rsidR="00410397" w:rsidRPr="00410397" w:rsidRDefault="00410397" w:rsidP="00EC522E">
            <w:pPr>
              <w:jc w:val="both"/>
              <w:rPr>
                <w:rFonts w:cstheme="minorHAnsi"/>
                <w:color w:val="333333"/>
                <w:sz w:val="24"/>
                <w:szCs w:val="24"/>
              </w:rPr>
            </w:pPr>
            <w:r w:rsidRPr="00410397">
              <w:rPr>
                <w:rFonts w:cstheme="minorHAnsi"/>
                <w:color w:val="333333"/>
                <w:sz w:val="24"/>
                <w:szCs w:val="24"/>
              </w:rPr>
              <w:t>5</w:t>
            </w:r>
          </w:p>
        </w:tc>
        <w:tc>
          <w:tcPr>
            <w:tcW w:w="3260" w:type="dxa"/>
          </w:tcPr>
          <w:p w14:paraId="554D72A2" w14:textId="0C0BE412" w:rsidR="00410397" w:rsidRPr="00410397" w:rsidRDefault="00410397" w:rsidP="00410397">
            <w:pPr>
              <w:spacing w:after="24" w:line="276" w:lineRule="auto"/>
              <w:jc w:val="both"/>
              <w:rPr>
                <w:rFonts w:cstheme="minorHAnsi"/>
              </w:rPr>
            </w:pPr>
            <w:r w:rsidRPr="00410397">
              <w:rPr>
                <w:rFonts w:cstheme="minorHAnsi"/>
              </w:rPr>
              <w:t>What are the requirements of accepting this funding?</w:t>
            </w:r>
          </w:p>
          <w:p w14:paraId="0371F088" w14:textId="1DC13B73" w:rsidR="00410397" w:rsidRPr="00410397" w:rsidRDefault="00410397" w:rsidP="00410397">
            <w:pPr>
              <w:jc w:val="both"/>
              <w:rPr>
                <w:rFonts w:cstheme="minorHAnsi"/>
                <w:sz w:val="24"/>
                <w:szCs w:val="24"/>
              </w:rPr>
            </w:pPr>
          </w:p>
        </w:tc>
        <w:tc>
          <w:tcPr>
            <w:tcW w:w="6224" w:type="dxa"/>
          </w:tcPr>
          <w:p w14:paraId="71AFDBDB" w14:textId="77777777" w:rsidR="00410397" w:rsidRPr="00410397" w:rsidRDefault="00410397" w:rsidP="00410397">
            <w:pPr>
              <w:spacing w:after="24" w:line="276" w:lineRule="auto"/>
              <w:jc w:val="both"/>
              <w:rPr>
                <w:rFonts w:eastAsia="Times New Roman" w:cstheme="minorHAnsi"/>
                <w:sz w:val="24"/>
                <w:szCs w:val="24"/>
              </w:rPr>
            </w:pPr>
            <w:r w:rsidRPr="00410397">
              <w:rPr>
                <w:rFonts w:eastAsia="Times New Roman" w:cstheme="minorHAnsi"/>
                <w:sz w:val="24"/>
                <w:szCs w:val="24"/>
              </w:rPr>
              <w:t>All investment will be subject to reporting requirements</w:t>
            </w:r>
          </w:p>
          <w:p w14:paraId="02926616" w14:textId="77777777" w:rsidR="00410397" w:rsidRPr="00410397" w:rsidRDefault="00410397" w:rsidP="00410397">
            <w:pPr>
              <w:spacing w:after="24" w:line="276" w:lineRule="auto"/>
              <w:jc w:val="both"/>
              <w:rPr>
                <w:rFonts w:eastAsia="Times New Roman" w:cstheme="minorHAnsi"/>
                <w:sz w:val="24"/>
                <w:szCs w:val="24"/>
              </w:rPr>
            </w:pPr>
            <w:r w:rsidRPr="00410397">
              <w:rPr>
                <w:rFonts w:eastAsia="Times New Roman" w:cstheme="minorHAnsi"/>
                <w:sz w:val="24"/>
                <w:szCs w:val="24"/>
              </w:rPr>
              <w:t>All funding must be managed appropriately in line with individual organisation’s financial management and assurance processes</w:t>
            </w:r>
          </w:p>
          <w:p w14:paraId="4525555E" w14:textId="4563017B" w:rsidR="00410397" w:rsidRPr="00410397" w:rsidRDefault="00410397" w:rsidP="00410397">
            <w:pPr>
              <w:jc w:val="both"/>
              <w:rPr>
                <w:rFonts w:cstheme="minorHAnsi"/>
                <w:sz w:val="24"/>
                <w:szCs w:val="24"/>
              </w:rPr>
            </w:pPr>
            <w:r w:rsidRPr="00410397">
              <w:rPr>
                <w:rFonts w:eastAsia="Times New Roman" w:cstheme="minorHAnsi"/>
                <w:sz w:val="24"/>
                <w:szCs w:val="24"/>
              </w:rPr>
              <w:t>Managers must support their staff to access training.</w:t>
            </w:r>
          </w:p>
        </w:tc>
      </w:tr>
    </w:tbl>
    <w:p w14:paraId="764DDA0C" w14:textId="77777777" w:rsidR="00F808E1" w:rsidRDefault="00F808E1" w:rsidP="00B07B65">
      <w:pPr>
        <w:jc w:val="both"/>
        <w:rPr>
          <w:b/>
          <w:bCs/>
          <w:color w:val="00A9CE"/>
          <w:sz w:val="36"/>
          <w:szCs w:val="36"/>
        </w:rPr>
      </w:pPr>
    </w:p>
    <w:p w14:paraId="649470FB" w14:textId="77777777" w:rsidR="00F808E1" w:rsidRPr="00E37D39" w:rsidRDefault="00F808E1" w:rsidP="00B07B65">
      <w:pPr>
        <w:jc w:val="both"/>
        <w:rPr>
          <w:b/>
          <w:bCs/>
          <w:color w:val="00A9CE"/>
          <w:sz w:val="36"/>
          <w:szCs w:val="36"/>
        </w:rPr>
      </w:pPr>
    </w:p>
    <w:sectPr w:rsidR="00F808E1" w:rsidRPr="00E37D39" w:rsidSect="00AA0B23">
      <w:headerReference w:type="default" r:id="rId20"/>
      <w:footerReference w:type="even" r:id="rId21"/>
      <w:footerReference w:type="default" r:id="rId22"/>
      <w:headerReference w:type="first" r:id="rId23"/>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60038" w14:textId="77777777" w:rsidR="00AA0B23" w:rsidRDefault="00AA0B23" w:rsidP="00AC72FD">
      <w:r>
        <w:separator/>
      </w:r>
    </w:p>
  </w:endnote>
  <w:endnote w:type="continuationSeparator" w:id="0">
    <w:p w14:paraId="4F20915C" w14:textId="77777777" w:rsidR="00AA0B23" w:rsidRDefault="00AA0B23" w:rsidP="00AC72FD">
      <w:r>
        <w:continuationSeparator/>
      </w:r>
    </w:p>
  </w:endnote>
  <w:endnote w:type="continuationNotice" w:id="1">
    <w:p w14:paraId="434FC39B" w14:textId="77777777" w:rsidR="00AA0B23" w:rsidRDefault="00AA0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6A361" w14:textId="77777777" w:rsidR="00AA0B23" w:rsidRDefault="00AA0B23" w:rsidP="00AC72FD">
      <w:r>
        <w:separator/>
      </w:r>
    </w:p>
  </w:footnote>
  <w:footnote w:type="continuationSeparator" w:id="0">
    <w:p w14:paraId="681186DF" w14:textId="77777777" w:rsidR="00AA0B23" w:rsidRDefault="00AA0B23" w:rsidP="00AC72FD">
      <w:r>
        <w:continuationSeparator/>
      </w:r>
    </w:p>
  </w:footnote>
  <w:footnote w:type="continuationNotice" w:id="1">
    <w:p w14:paraId="7CA9D9FD" w14:textId="77777777" w:rsidR="00AA0B23" w:rsidRDefault="00AA0B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10C159A0" w:rsidR="00ED2809" w:rsidRPr="00AC72FD" w:rsidRDefault="005B2AA5" w:rsidP="00964AF4">
    <w:pPr>
      <w:pStyle w:val="Heading2"/>
      <w:spacing w:after="400"/>
      <w:jc w:val="right"/>
    </w:pPr>
    <w:r>
      <w:t xml:space="preserve">South East </w:t>
    </w:r>
    <w:r w:rsidR="005B3414">
      <w:t>Endoscopy Practice Educators</w:t>
    </w:r>
    <w:r>
      <w:t xml:space="preserve"> Funding </w:t>
    </w:r>
    <w:r w:rsidR="00FA518F">
      <w:t>2024-25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4F1E" w14:textId="093197E5" w:rsidR="00EB29B9" w:rsidRDefault="00C53600">
    <w:pPr>
      <w:pStyle w:val="Header"/>
    </w:pPr>
    <w:r>
      <w:rPr>
        <w:noProof/>
      </w:rPr>
      <w:drawing>
        <wp:anchor distT="0" distB="0" distL="114300" distR="114300" simplePos="0" relativeHeight="251658240" behindDoc="1" locked="0" layoutInCell="1" allowOverlap="1" wp14:anchorId="581894B0" wp14:editId="5B8919AA">
          <wp:simplePos x="0" y="0"/>
          <wp:positionH relativeFrom="margin">
            <wp:posOffset>5595409</wp:posOffset>
          </wp:positionH>
          <wp:positionV relativeFrom="paragraph">
            <wp:posOffset>88477</wp:posOffset>
          </wp:positionV>
          <wp:extent cx="973455" cy="730250"/>
          <wp:effectExtent l="0" t="0" r="0" b="0"/>
          <wp:wrapTight wrapText="bothSides">
            <wp:wrapPolygon edited="0">
              <wp:start x="0" y="0"/>
              <wp:lineTo x="0" y="20849"/>
              <wp:lineTo x="21135" y="20849"/>
              <wp:lineTo x="21135" y="0"/>
              <wp:lineTo x="0" y="0"/>
            </wp:wrapPolygon>
          </wp:wrapTight>
          <wp:docPr id="3" name="Picture 3"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with low confidence"/>
                  <pic:cNvPicPr/>
                </pic:nvPicPr>
                <pic:blipFill>
                  <a:blip r:embed="rId1"/>
                  <a:stretch>
                    <a:fillRect/>
                  </a:stretch>
                </pic:blipFill>
                <pic:spPr>
                  <a:xfrm>
                    <a:off x="0" y="0"/>
                    <a:ext cx="973455" cy="730250"/>
                  </a:xfrm>
                  <a:prstGeom prst="rect">
                    <a:avLst/>
                  </a:prstGeom>
                </pic:spPr>
              </pic:pic>
            </a:graphicData>
          </a:graphic>
          <wp14:sizeRelH relativeFrom="margin">
            <wp14:pctWidth>0</wp14:pctWidth>
          </wp14:sizeRelH>
          <wp14:sizeRelV relativeFrom="margin">
            <wp14:pctHeight>0</wp14:pctHeight>
          </wp14:sizeRelV>
        </wp:anchor>
      </w:drawing>
    </w:r>
    <w:r w:rsidR="00EB29B9">
      <w:rPr>
        <w:noProof/>
      </w:rPr>
      <mc:AlternateContent>
        <mc:Choice Requires="wps">
          <w:drawing>
            <wp:inline distT="0" distB="0" distL="0" distR="0" wp14:anchorId="56738A35" wp14:editId="0B0A9DE5">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769B65CD"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DB5"/>
    <w:multiLevelType w:val="hybridMultilevel"/>
    <w:tmpl w:val="13449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62D47"/>
    <w:multiLevelType w:val="hybridMultilevel"/>
    <w:tmpl w:val="2DE40C3E"/>
    <w:lvl w:ilvl="0" w:tplc="20D4E734">
      <w:start w:val="1"/>
      <w:numFmt w:val="lowerRoman"/>
      <w:lvlText w:val="%1."/>
      <w:lvlJc w:val="left"/>
      <w:pPr>
        <w:ind w:left="1080" w:hanging="720"/>
      </w:pPr>
      <w:rPr>
        <w:rFonts w:hint="default"/>
        <w:b w:val="0"/>
        <w:bCs/>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517848"/>
    <w:multiLevelType w:val="hybridMultilevel"/>
    <w:tmpl w:val="77FEF1F4"/>
    <w:lvl w:ilvl="0" w:tplc="DE54DE3A">
      <w:start w:val="1"/>
      <w:numFmt w:val="bullet"/>
      <w:lvlText w:val=""/>
      <w:lvlJc w:val="left"/>
      <w:pPr>
        <w:ind w:left="720" w:hanging="360"/>
      </w:pPr>
      <w:rPr>
        <w:rFonts w:ascii="Symbol" w:hAnsi="Symbol"/>
      </w:rPr>
    </w:lvl>
    <w:lvl w:ilvl="1" w:tplc="D132FF1C">
      <w:start w:val="1"/>
      <w:numFmt w:val="bullet"/>
      <w:lvlText w:val=""/>
      <w:lvlJc w:val="left"/>
      <w:pPr>
        <w:ind w:left="720" w:hanging="360"/>
      </w:pPr>
      <w:rPr>
        <w:rFonts w:ascii="Symbol" w:hAnsi="Symbol"/>
      </w:rPr>
    </w:lvl>
    <w:lvl w:ilvl="2" w:tplc="925A0342">
      <w:start w:val="1"/>
      <w:numFmt w:val="bullet"/>
      <w:lvlText w:val=""/>
      <w:lvlJc w:val="left"/>
      <w:pPr>
        <w:ind w:left="720" w:hanging="360"/>
      </w:pPr>
      <w:rPr>
        <w:rFonts w:ascii="Symbol" w:hAnsi="Symbol"/>
      </w:rPr>
    </w:lvl>
    <w:lvl w:ilvl="3" w:tplc="3FFC2B56">
      <w:start w:val="1"/>
      <w:numFmt w:val="bullet"/>
      <w:lvlText w:val=""/>
      <w:lvlJc w:val="left"/>
      <w:pPr>
        <w:ind w:left="720" w:hanging="360"/>
      </w:pPr>
      <w:rPr>
        <w:rFonts w:ascii="Symbol" w:hAnsi="Symbol"/>
      </w:rPr>
    </w:lvl>
    <w:lvl w:ilvl="4" w:tplc="F34E9580">
      <w:start w:val="1"/>
      <w:numFmt w:val="bullet"/>
      <w:lvlText w:val=""/>
      <w:lvlJc w:val="left"/>
      <w:pPr>
        <w:ind w:left="720" w:hanging="360"/>
      </w:pPr>
      <w:rPr>
        <w:rFonts w:ascii="Symbol" w:hAnsi="Symbol"/>
      </w:rPr>
    </w:lvl>
    <w:lvl w:ilvl="5" w:tplc="EEE8C0E0">
      <w:start w:val="1"/>
      <w:numFmt w:val="bullet"/>
      <w:lvlText w:val=""/>
      <w:lvlJc w:val="left"/>
      <w:pPr>
        <w:ind w:left="720" w:hanging="360"/>
      </w:pPr>
      <w:rPr>
        <w:rFonts w:ascii="Symbol" w:hAnsi="Symbol"/>
      </w:rPr>
    </w:lvl>
    <w:lvl w:ilvl="6" w:tplc="C98A61D4">
      <w:start w:val="1"/>
      <w:numFmt w:val="bullet"/>
      <w:lvlText w:val=""/>
      <w:lvlJc w:val="left"/>
      <w:pPr>
        <w:ind w:left="720" w:hanging="360"/>
      </w:pPr>
      <w:rPr>
        <w:rFonts w:ascii="Symbol" w:hAnsi="Symbol"/>
      </w:rPr>
    </w:lvl>
    <w:lvl w:ilvl="7" w:tplc="558C40EA">
      <w:start w:val="1"/>
      <w:numFmt w:val="bullet"/>
      <w:lvlText w:val=""/>
      <w:lvlJc w:val="left"/>
      <w:pPr>
        <w:ind w:left="720" w:hanging="360"/>
      </w:pPr>
      <w:rPr>
        <w:rFonts w:ascii="Symbol" w:hAnsi="Symbol"/>
      </w:rPr>
    </w:lvl>
    <w:lvl w:ilvl="8" w:tplc="D2745A00">
      <w:start w:val="1"/>
      <w:numFmt w:val="bullet"/>
      <w:lvlText w:val=""/>
      <w:lvlJc w:val="left"/>
      <w:pPr>
        <w:ind w:left="720" w:hanging="360"/>
      </w:pPr>
      <w:rPr>
        <w:rFonts w:ascii="Symbol" w:hAnsi="Symbol"/>
      </w:rPr>
    </w:lvl>
  </w:abstractNum>
  <w:abstractNum w:abstractNumId="3" w15:restartNumberingAfterBreak="0">
    <w:nsid w:val="17D028AA"/>
    <w:multiLevelType w:val="hybridMultilevel"/>
    <w:tmpl w:val="A1A60A70"/>
    <w:lvl w:ilvl="0" w:tplc="D58CFE3A">
      <w:start w:val="1"/>
      <w:numFmt w:val="bullet"/>
      <w:lvlText w:val=""/>
      <w:lvlJc w:val="left"/>
      <w:pPr>
        <w:ind w:left="720" w:hanging="360"/>
      </w:pPr>
      <w:rPr>
        <w:rFonts w:ascii="Symbol" w:hAnsi="Symbol" w:hint="default"/>
      </w:rPr>
    </w:lvl>
    <w:lvl w:ilvl="1" w:tplc="99061860">
      <w:start w:val="1"/>
      <w:numFmt w:val="bullet"/>
      <w:lvlText w:val="o"/>
      <w:lvlJc w:val="left"/>
      <w:pPr>
        <w:ind w:left="1440" w:hanging="360"/>
      </w:pPr>
      <w:rPr>
        <w:rFonts w:ascii="Courier New" w:hAnsi="Courier New" w:hint="default"/>
      </w:rPr>
    </w:lvl>
    <w:lvl w:ilvl="2" w:tplc="71DC6C08">
      <w:start w:val="1"/>
      <w:numFmt w:val="bullet"/>
      <w:lvlText w:val=""/>
      <w:lvlJc w:val="left"/>
      <w:pPr>
        <w:ind w:left="2160" w:hanging="360"/>
      </w:pPr>
      <w:rPr>
        <w:rFonts w:ascii="Wingdings" w:hAnsi="Wingdings" w:hint="default"/>
      </w:rPr>
    </w:lvl>
    <w:lvl w:ilvl="3" w:tplc="1206DF30">
      <w:start w:val="1"/>
      <w:numFmt w:val="bullet"/>
      <w:lvlText w:val=""/>
      <w:lvlJc w:val="left"/>
      <w:pPr>
        <w:ind w:left="2880" w:hanging="360"/>
      </w:pPr>
      <w:rPr>
        <w:rFonts w:ascii="Symbol" w:hAnsi="Symbol" w:hint="default"/>
      </w:rPr>
    </w:lvl>
    <w:lvl w:ilvl="4" w:tplc="C43816FC">
      <w:start w:val="1"/>
      <w:numFmt w:val="bullet"/>
      <w:lvlText w:val="o"/>
      <w:lvlJc w:val="left"/>
      <w:pPr>
        <w:ind w:left="3600" w:hanging="360"/>
      </w:pPr>
      <w:rPr>
        <w:rFonts w:ascii="Courier New" w:hAnsi="Courier New" w:hint="default"/>
      </w:rPr>
    </w:lvl>
    <w:lvl w:ilvl="5" w:tplc="16D2FC8E">
      <w:start w:val="1"/>
      <w:numFmt w:val="bullet"/>
      <w:lvlText w:val=""/>
      <w:lvlJc w:val="left"/>
      <w:pPr>
        <w:ind w:left="4320" w:hanging="360"/>
      </w:pPr>
      <w:rPr>
        <w:rFonts w:ascii="Wingdings" w:hAnsi="Wingdings" w:hint="default"/>
      </w:rPr>
    </w:lvl>
    <w:lvl w:ilvl="6" w:tplc="8D1CEB90">
      <w:start w:val="1"/>
      <w:numFmt w:val="bullet"/>
      <w:lvlText w:val=""/>
      <w:lvlJc w:val="left"/>
      <w:pPr>
        <w:ind w:left="5040" w:hanging="360"/>
      </w:pPr>
      <w:rPr>
        <w:rFonts w:ascii="Symbol" w:hAnsi="Symbol" w:hint="default"/>
      </w:rPr>
    </w:lvl>
    <w:lvl w:ilvl="7" w:tplc="A5F4F6C8">
      <w:start w:val="1"/>
      <w:numFmt w:val="bullet"/>
      <w:lvlText w:val="o"/>
      <w:lvlJc w:val="left"/>
      <w:pPr>
        <w:ind w:left="5760" w:hanging="360"/>
      </w:pPr>
      <w:rPr>
        <w:rFonts w:ascii="Courier New" w:hAnsi="Courier New" w:hint="default"/>
      </w:rPr>
    </w:lvl>
    <w:lvl w:ilvl="8" w:tplc="EB083628">
      <w:start w:val="1"/>
      <w:numFmt w:val="bullet"/>
      <w:lvlText w:val=""/>
      <w:lvlJc w:val="left"/>
      <w:pPr>
        <w:ind w:left="6480" w:hanging="360"/>
      </w:pPr>
      <w:rPr>
        <w:rFonts w:ascii="Wingdings" w:hAnsi="Wingdings" w:hint="default"/>
      </w:rPr>
    </w:lvl>
  </w:abstractNum>
  <w:abstractNum w:abstractNumId="4" w15:restartNumberingAfterBreak="0">
    <w:nsid w:val="19BD1C4C"/>
    <w:multiLevelType w:val="hybridMultilevel"/>
    <w:tmpl w:val="A3E6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106DE"/>
    <w:multiLevelType w:val="hybridMultilevel"/>
    <w:tmpl w:val="B492F62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CAB4E51"/>
    <w:multiLevelType w:val="hybridMultilevel"/>
    <w:tmpl w:val="91EC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E2106"/>
    <w:multiLevelType w:val="hybridMultilevel"/>
    <w:tmpl w:val="361ADD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9C5284"/>
    <w:multiLevelType w:val="hybridMultilevel"/>
    <w:tmpl w:val="9F1E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2E1E06"/>
    <w:multiLevelType w:val="hybridMultilevel"/>
    <w:tmpl w:val="1CD6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9040AD"/>
    <w:multiLevelType w:val="multilevel"/>
    <w:tmpl w:val="CE48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AF11B1"/>
    <w:multiLevelType w:val="hybridMultilevel"/>
    <w:tmpl w:val="F3AEEE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52942E12"/>
    <w:multiLevelType w:val="hybridMultilevel"/>
    <w:tmpl w:val="31F4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3F0DBA"/>
    <w:multiLevelType w:val="hybridMultilevel"/>
    <w:tmpl w:val="3DF67C5E"/>
    <w:lvl w:ilvl="0" w:tplc="49E899D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A66813"/>
    <w:multiLevelType w:val="hybridMultilevel"/>
    <w:tmpl w:val="E8105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4E0D91"/>
    <w:multiLevelType w:val="hybridMultilevel"/>
    <w:tmpl w:val="6A5A6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03263A"/>
    <w:multiLevelType w:val="hybridMultilevel"/>
    <w:tmpl w:val="932C71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C75AD2"/>
    <w:multiLevelType w:val="hybridMultilevel"/>
    <w:tmpl w:val="CB80934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E40593A"/>
    <w:multiLevelType w:val="hybridMultilevel"/>
    <w:tmpl w:val="917257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2948896">
    <w:abstractNumId w:val="15"/>
  </w:num>
  <w:num w:numId="2" w16cid:durableId="1008487205">
    <w:abstractNumId w:val="4"/>
  </w:num>
  <w:num w:numId="3" w16cid:durableId="357590161">
    <w:abstractNumId w:val="14"/>
  </w:num>
  <w:num w:numId="4" w16cid:durableId="1406878562">
    <w:abstractNumId w:val="8"/>
  </w:num>
  <w:num w:numId="5" w16cid:durableId="1552307307">
    <w:abstractNumId w:val="6"/>
  </w:num>
  <w:num w:numId="6" w16cid:durableId="1713773281">
    <w:abstractNumId w:val="12"/>
  </w:num>
  <w:num w:numId="7" w16cid:durableId="1140463999">
    <w:abstractNumId w:val="9"/>
  </w:num>
  <w:num w:numId="8" w16cid:durableId="813106143">
    <w:abstractNumId w:val="7"/>
  </w:num>
  <w:num w:numId="9" w16cid:durableId="715204697">
    <w:abstractNumId w:val="13"/>
  </w:num>
  <w:num w:numId="10" w16cid:durableId="338626201">
    <w:abstractNumId w:val="5"/>
  </w:num>
  <w:num w:numId="11" w16cid:durableId="261492241">
    <w:abstractNumId w:val="16"/>
  </w:num>
  <w:num w:numId="12" w16cid:durableId="1221862901">
    <w:abstractNumId w:val="1"/>
  </w:num>
  <w:num w:numId="13" w16cid:durableId="69816314">
    <w:abstractNumId w:val="2"/>
  </w:num>
  <w:num w:numId="14" w16cid:durableId="1486318281">
    <w:abstractNumId w:val="0"/>
  </w:num>
  <w:num w:numId="15" w16cid:durableId="1336810872">
    <w:abstractNumId w:val="3"/>
  </w:num>
  <w:num w:numId="16" w16cid:durableId="1560677358">
    <w:abstractNumId w:val="11"/>
  </w:num>
  <w:num w:numId="17" w16cid:durableId="885290232">
    <w:abstractNumId w:val="10"/>
  </w:num>
  <w:num w:numId="18" w16cid:durableId="1519467139">
    <w:abstractNumId w:val="18"/>
  </w:num>
  <w:num w:numId="19" w16cid:durableId="201453300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00462"/>
    <w:rsid w:val="00013944"/>
    <w:rsid w:val="00015F92"/>
    <w:rsid w:val="000160F6"/>
    <w:rsid w:val="00024F97"/>
    <w:rsid w:val="00034451"/>
    <w:rsid w:val="00043EE5"/>
    <w:rsid w:val="00064BD3"/>
    <w:rsid w:val="00067579"/>
    <w:rsid w:val="00070566"/>
    <w:rsid w:val="00074F27"/>
    <w:rsid w:val="00075959"/>
    <w:rsid w:val="000916D6"/>
    <w:rsid w:val="00093EAE"/>
    <w:rsid w:val="00096E12"/>
    <w:rsid w:val="000A07BC"/>
    <w:rsid w:val="000A3C39"/>
    <w:rsid w:val="000B3795"/>
    <w:rsid w:val="000C380D"/>
    <w:rsid w:val="000E60D7"/>
    <w:rsid w:val="000E6E25"/>
    <w:rsid w:val="000F33A3"/>
    <w:rsid w:val="000F6180"/>
    <w:rsid w:val="000F7AC7"/>
    <w:rsid w:val="0010104E"/>
    <w:rsid w:val="00101FB9"/>
    <w:rsid w:val="00103841"/>
    <w:rsid w:val="00103C07"/>
    <w:rsid w:val="00106B30"/>
    <w:rsid w:val="00106F8B"/>
    <w:rsid w:val="00107CF7"/>
    <w:rsid w:val="00111F0B"/>
    <w:rsid w:val="001249DA"/>
    <w:rsid w:val="00126095"/>
    <w:rsid w:val="001263B4"/>
    <w:rsid w:val="001269D6"/>
    <w:rsid w:val="00132CBC"/>
    <w:rsid w:val="00135A54"/>
    <w:rsid w:val="00141C57"/>
    <w:rsid w:val="0014264A"/>
    <w:rsid w:val="0014327D"/>
    <w:rsid w:val="00151433"/>
    <w:rsid w:val="00177020"/>
    <w:rsid w:val="00184133"/>
    <w:rsid w:val="00195BFE"/>
    <w:rsid w:val="0019666A"/>
    <w:rsid w:val="001A3B4D"/>
    <w:rsid w:val="001A4336"/>
    <w:rsid w:val="001A441F"/>
    <w:rsid w:val="001A70C0"/>
    <w:rsid w:val="001A738E"/>
    <w:rsid w:val="001B39A6"/>
    <w:rsid w:val="001B634E"/>
    <w:rsid w:val="001C613A"/>
    <w:rsid w:val="001C6231"/>
    <w:rsid w:val="001D212C"/>
    <w:rsid w:val="001D4F3A"/>
    <w:rsid w:val="001E1477"/>
    <w:rsid w:val="001F54B8"/>
    <w:rsid w:val="001F54D9"/>
    <w:rsid w:val="002008F8"/>
    <w:rsid w:val="0020327C"/>
    <w:rsid w:val="00212968"/>
    <w:rsid w:val="00213E7B"/>
    <w:rsid w:val="00214162"/>
    <w:rsid w:val="00216E56"/>
    <w:rsid w:val="00222043"/>
    <w:rsid w:val="002310E8"/>
    <w:rsid w:val="00235676"/>
    <w:rsid w:val="0024068B"/>
    <w:rsid w:val="0025038D"/>
    <w:rsid w:val="002514C3"/>
    <w:rsid w:val="00252A63"/>
    <w:rsid w:val="00254C8A"/>
    <w:rsid w:val="00271A5C"/>
    <w:rsid w:val="002737DA"/>
    <w:rsid w:val="0028083A"/>
    <w:rsid w:val="00292E3D"/>
    <w:rsid w:val="002B015E"/>
    <w:rsid w:val="002B0BB9"/>
    <w:rsid w:val="002B52AE"/>
    <w:rsid w:val="002C1402"/>
    <w:rsid w:val="002C1515"/>
    <w:rsid w:val="002C3A12"/>
    <w:rsid w:val="002C7FD2"/>
    <w:rsid w:val="002D0EF7"/>
    <w:rsid w:val="002D6129"/>
    <w:rsid w:val="002D6889"/>
    <w:rsid w:val="002E49BA"/>
    <w:rsid w:val="002E56CA"/>
    <w:rsid w:val="002E7821"/>
    <w:rsid w:val="002F0E6B"/>
    <w:rsid w:val="002F2E35"/>
    <w:rsid w:val="00301799"/>
    <w:rsid w:val="00306469"/>
    <w:rsid w:val="003111B8"/>
    <w:rsid w:val="00315BD2"/>
    <w:rsid w:val="00317F85"/>
    <w:rsid w:val="00323EF1"/>
    <w:rsid w:val="00334EDD"/>
    <w:rsid w:val="00341627"/>
    <w:rsid w:val="00341E2F"/>
    <w:rsid w:val="003431BA"/>
    <w:rsid w:val="00345160"/>
    <w:rsid w:val="0034679F"/>
    <w:rsid w:val="00346D11"/>
    <w:rsid w:val="00346F82"/>
    <w:rsid w:val="0036112F"/>
    <w:rsid w:val="003647A3"/>
    <w:rsid w:val="00366C2F"/>
    <w:rsid w:val="00370AA1"/>
    <w:rsid w:val="003745E9"/>
    <w:rsid w:val="0038048C"/>
    <w:rsid w:val="003906AE"/>
    <w:rsid w:val="0039562B"/>
    <w:rsid w:val="003A0465"/>
    <w:rsid w:val="003A2102"/>
    <w:rsid w:val="003A4219"/>
    <w:rsid w:val="003B5C9C"/>
    <w:rsid w:val="003D33F6"/>
    <w:rsid w:val="003D4063"/>
    <w:rsid w:val="003E235F"/>
    <w:rsid w:val="003E2C14"/>
    <w:rsid w:val="003E7A63"/>
    <w:rsid w:val="003F3051"/>
    <w:rsid w:val="003F68BC"/>
    <w:rsid w:val="003F6A21"/>
    <w:rsid w:val="00401083"/>
    <w:rsid w:val="00402E48"/>
    <w:rsid w:val="00410397"/>
    <w:rsid w:val="004139F2"/>
    <w:rsid w:val="00413D35"/>
    <w:rsid w:val="004251C2"/>
    <w:rsid w:val="0042708F"/>
    <w:rsid w:val="004303E9"/>
    <w:rsid w:val="00450806"/>
    <w:rsid w:val="00453BA2"/>
    <w:rsid w:val="00463294"/>
    <w:rsid w:val="00467BF3"/>
    <w:rsid w:val="0047063E"/>
    <w:rsid w:val="00471DEC"/>
    <w:rsid w:val="00472C2D"/>
    <w:rsid w:val="00477C30"/>
    <w:rsid w:val="00484E43"/>
    <w:rsid w:val="0048506F"/>
    <w:rsid w:val="004905DE"/>
    <w:rsid w:val="00491FD1"/>
    <w:rsid w:val="00492D26"/>
    <w:rsid w:val="004A78D8"/>
    <w:rsid w:val="004B2512"/>
    <w:rsid w:val="004B341D"/>
    <w:rsid w:val="004B3B37"/>
    <w:rsid w:val="004C4EEF"/>
    <w:rsid w:val="004E5604"/>
    <w:rsid w:val="004E704E"/>
    <w:rsid w:val="004F2923"/>
    <w:rsid w:val="004F2A2D"/>
    <w:rsid w:val="004F4062"/>
    <w:rsid w:val="004F40CE"/>
    <w:rsid w:val="004F47A4"/>
    <w:rsid w:val="005008F3"/>
    <w:rsid w:val="00511668"/>
    <w:rsid w:val="00512D56"/>
    <w:rsid w:val="00514239"/>
    <w:rsid w:val="005226E7"/>
    <w:rsid w:val="0052410D"/>
    <w:rsid w:val="005244B3"/>
    <w:rsid w:val="00532830"/>
    <w:rsid w:val="00536AA1"/>
    <w:rsid w:val="0053729C"/>
    <w:rsid w:val="0054422B"/>
    <w:rsid w:val="00545551"/>
    <w:rsid w:val="00557F44"/>
    <w:rsid w:val="005600EE"/>
    <w:rsid w:val="00563CCE"/>
    <w:rsid w:val="00575523"/>
    <w:rsid w:val="00590962"/>
    <w:rsid w:val="00597E24"/>
    <w:rsid w:val="005A4D68"/>
    <w:rsid w:val="005A744A"/>
    <w:rsid w:val="005B2AA5"/>
    <w:rsid w:val="005B3414"/>
    <w:rsid w:val="005C7973"/>
    <w:rsid w:val="005C7ECA"/>
    <w:rsid w:val="005D727B"/>
    <w:rsid w:val="005E2A6B"/>
    <w:rsid w:val="005E6AE8"/>
    <w:rsid w:val="005E7828"/>
    <w:rsid w:val="005F1F7D"/>
    <w:rsid w:val="005F3C25"/>
    <w:rsid w:val="006065AA"/>
    <w:rsid w:val="006118A5"/>
    <w:rsid w:val="00611E0A"/>
    <w:rsid w:val="0061221F"/>
    <w:rsid w:val="0061396E"/>
    <w:rsid w:val="00613CCA"/>
    <w:rsid w:val="00614258"/>
    <w:rsid w:val="006142D7"/>
    <w:rsid w:val="006204AA"/>
    <w:rsid w:val="00621221"/>
    <w:rsid w:val="00625536"/>
    <w:rsid w:val="006264C4"/>
    <w:rsid w:val="00627FAA"/>
    <w:rsid w:val="006443E2"/>
    <w:rsid w:val="006503BC"/>
    <w:rsid w:val="00652EC2"/>
    <w:rsid w:val="006615BF"/>
    <w:rsid w:val="00663096"/>
    <w:rsid w:val="00663C7F"/>
    <w:rsid w:val="006665C1"/>
    <w:rsid w:val="00671357"/>
    <w:rsid w:val="0067641F"/>
    <w:rsid w:val="0068383B"/>
    <w:rsid w:val="00683AD2"/>
    <w:rsid w:val="0068698D"/>
    <w:rsid w:val="006A18B1"/>
    <w:rsid w:val="006A753A"/>
    <w:rsid w:val="006A77A3"/>
    <w:rsid w:val="006B0996"/>
    <w:rsid w:val="006B33C5"/>
    <w:rsid w:val="006C1240"/>
    <w:rsid w:val="006C3CA3"/>
    <w:rsid w:val="006C78F0"/>
    <w:rsid w:val="006D2103"/>
    <w:rsid w:val="006D6D0D"/>
    <w:rsid w:val="006E0916"/>
    <w:rsid w:val="006E2CDC"/>
    <w:rsid w:val="006E658F"/>
    <w:rsid w:val="006E6FD4"/>
    <w:rsid w:val="007001E7"/>
    <w:rsid w:val="007052CF"/>
    <w:rsid w:val="007071B9"/>
    <w:rsid w:val="007120D6"/>
    <w:rsid w:val="007171FB"/>
    <w:rsid w:val="007200CE"/>
    <w:rsid w:val="0072766E"/>
    <w:rsid w:val="00733F2C"/>
    <w:rsid w:val="007501BC"/>
    <w:rsid w:val="00752F86"/>
    <w:rsid w:val="007653DF"/>
    <w:rsid w:val="00766CFB"/>
    <w:rsid w:val="0077190B"/>
    <w:rsid w:val="00776DA0"/>
    <w:rsid w:val="007804E9"/>
    <w:rsid w:val="00782D6A"/>
    <w:rsid w:val="00791F20"/>
    <w:rsid w:val="007B57EB"/>
    <w:rsid w:val="007C022E"/>
    <w:rsid w:val="007E282F"/>
    <w:rsid w:val="007E4909"/>
    <w:rsid w:val="007E65D8"/>
    <w:rsid w:val="007E6CF5"/>
    <w:rsid w:val="007F2CB8"/>
    <w:rsid w:val="00803F1F"/>
    <w:rsid w:val="00805DEA"/>
    <w:rsid w:val="0081178E"/>
    <w:rsid w:val="0081365E"/>
    <w:rsid w:val="00821663"/>
    <w:rsid w:val="00824FD7"/>
    <w:rsid w:val="008253DD"/>
    <w:rsid w:val="008302D8"/>
    <w:rsid w:val="00831F5F"/>
    <w:rsid w:val="00832F64"/>
    <w:rsid w:val="008445CA"/>
    <w:rsid w:val="0084567D"/>
    <w:rsid w:val="008508D3"/>
    <w:rsid w:val="008521C2"/>
    <w:rsid w:val="00852492"/>
    <w:rsid w:val="008616EF"/>
    <w:rsid w:val="00861C74"/>
    <w:rsid w:val="0086219E"/>
    <w:rsid w:val="00866981"/>
    <w:rsid w:val="00871E52"/>
    <w:rsid w:val="0088268E"/>
    <w:rsid w:val="0088309E"/>
    <w:rsid w:val="00890461"/>
    <w:rsid w:val="00894F53"/>
    <w:rsid w:val="008A0A4E"/>
    <w:rsid w:val="008A2EE5"/>
    <w:rsid w:val="008A4834"/>
    <w:rsid w:val="008B0C2E"/>
    <w:rsid w:val="008B1D66"/>
    <w:rsid w:val="008B1E57"/>
    <w:rsid w:val="008B2FE2"/>
    <w:rsid w:val="008C0D94"/>
    <w:rsid w:val="008C223F"/>
    <w:rsid w:val="008D2621"/>
    <w:rsid w:val="008D493D"/>
    <w:rsid w:val="008E0814"/>
    <w:rsid w:val="008E329C"/>
    <w:rsid w:val="008F08D4"/>
    <w:rsid w:val="008F1A3E"/>
    <w:rsid w:val="008F1B16"/>
    <w:rsid w:val="008F2E47"/>
    <w:rsid w:val="00900FC5"/>
    <w:rsid w:val="00906015"/>
    <w:rsid w:val="0091039C"/>
    <w:rsid w:val="0091548B"/>
    <w:rsid w:val="00916453"/>
    <w:rsid w:val="00920C69"/>
    <w:rsid w:val="00933394"/>
    <w:rsid w:val="0093548E"/>
    <w:rsid w:val="00937DF6"/>
    <w:rsid w:val="009400BD"/>
    <w:rsid w:val="00940B70"/>
    <w:rsid w:val="0094142D"/>
    <w:rsid w:val="00950E33"/>
    <w:rsid w:val="00956590"/>
    <w:rsid w:val="009648C3"/>
    <w:rsid w:val="00964AF4"/>
    <w:rsid w:val="00966272"/>
    <w:rsid w:val="00966B3E"/>
    <w:rsid w:val="009761D3"/>
    <w:rsid w:val="0098626C"/>
    <w:rsid w:val="00992DA7"/>
    <w:rsid w:val="0099555E"/>
    <w:rsid w:val="00995607"/>
    <w:rsid w:val="00996703"/>
    <w:rsid w:val="009A2139"/>
    <w:rsid w:val="009A79E2"/>
    <w:rsid w:val="009B585D"/>
    <w:rsid w:val="009D2E13"/>
    <w:rsid w:val="009D32F5"/>
    <w:rsid w:val="009D4078"/>
    <w:rsid w:val="009D6515"/>
    <w:rsid w:val="009D652D"/>
    <w:rsid w:val="009E2641"/>
    <w:rsid w:val="009E3279"/>
    <w:rsid w:val="009F1808"/>
    <w:rsid w:val="009F1929"/>
    <w:rsid w:val="009F2413"/>
    <w:rsid w:val="009F3C7D"/>
    <w:rsid w:val="009F4CBD"/>
    <w:rsid w:val="00A030ED"/>
    <w:rsid w:val="00A10CAD"/>
    <w:rsid w:val="00A11692"/>
    <w:rsid w:val="00A202DC"/>
    <w:rsid w:val="00A41F17"/>
    <w:rsid w:val="00A45579"/>
    <w:rsid w:val="00A51D6B"/>
    <w:rsid w:val="00A53243"/>
    <w:rsid w:val="00A622DB"/>
    <w:rsid w:val="00A63429"/>
    <w:rsid w:val="00A65C8D"/>
    <w:rsid w:val="00A71830"/>
    <w:rsid w:val="00A75093"/>
    <w:rsid w:val="00A76867"/>
    <w:rsid w:val="00A77A6B"/>
    <w:rsid w:val="00A820F2"/>
    <w:rsid w:val="00A824FC"/>
    <w:rsid w:val="00A84B61"/>
    <w:rsid w:val="00A917F4"/>
    <w:rsid w:val="00A9515C"/>
    <w:rsid w:val="00A97588"/>
    <w:rsid w:val="00AA0B23"/>
    <w:rsid w:val="00AA400D"/>
    <w:rsid w:val="00AB533C"/>
    <w:rsid w:val="00AC72FD"/>
    <w:rsid w:val="00AD3004"/>
    <w:rsid w:val="00AD7276"/>
    <w:rsid w:val="00AE16AD"/>
    <w:rsid w:val="00AE2503"/>
    <w:rsid w:val="00AF0194"/>
    <w:rsid w:val="00AF1982"/>
    <w:rsid w:val="00B02348"/>
    <w:rsid w:val="00B07B65"/>
    <w:rsid w:val="00B11EDB"/>
    <w:rsid w:val="00B16D89"/>
    <w:rsid w:val="00B22AA5"/>
    <w:rsid w:val="00B23CD5"/>
    <w:rsid w:val="00B26969"/>
    <w:rsid w:val="00B37F95"/>
    <w:rsid w:val="00B43294"/>
    <w:rsid w:val="00B441F0"/>
    <w:rsid w:val="00B44DC5"/>
    <w:rsid w:val="00B516CC"/>
    <w:rsid w:val="00B606AF"/>
    <w:rsid w:val="00B73BDE"/>
    <w:rsid w:val="00B817F8"/>
    <w:rsid w:val="00B90329"/>
    <w:rsid w:val="00B91629"/>
    <w:rsid w:val="00B954E1"/>
    <w:rsid w:val="00B97FE0"/>
    <w:rsid w:val="00BA103B"/>
    <w:rsid w:val="00BB2C27"/>
    <w:rsid w:val="00BC3EE5"/>
    <w:rsid w:val="00BC5AF5"/>
    <w:rsid w:val="00BD1922"/>
    <w:rsid w:val="00BD2C6C"/>
    <w:rsid w:val="00BD4D87"/>
    <w:rsid w:val="00BE2541"/>
    <w:rsid w:val="00BF6C15"/>
    <w:rsid w:val="00C0109F"/>
    <w:rsid w:val="00C0148D"/>
    <w:rsid w:val="00C15198"/>
    <w:rsid w:val="00C162D6"/>
    <w:rsid w:val="00C202AF"/>
    <w:rsid w:val="00C2185C"/>
    <w:rsid w:val="00C22A12"/>
    <w:rsid w:val="00C23934"/>
    <w:rsid w:val="00C31029"/>
    <w:rsid w:val="00C42D7B"/>
    <w:rsid w:val="00C4476C"/>
    <w:rsid w:val="00C51C00"/>
    <w:rsid w:val="00C53600"/>
    <w:rsid w:val="00C5663F"/>
    <w:rsid w:val="00C60085"/>
    <w:rsid w:val="00C66EEE"/>
    <w:rsid w:val="00C70905"/>
    <w:rsid w:val="00C83D6E"/>
    <w:rsid w:val="00C851AF"/>
    <w:rsid w:val="00C874F2"/>
    <w:rsid w:val="00C87E48"/>
    <w:rsid w:val="00C9564B"/>
    <w:rsid w:val="00C95AED"/>
    <w:rsid w:val="00CA203A"/>
    <w:rsid w:val="00CA23E4"/>
    <w:rsid w:val="00CA2A2C"/>
    <w:rsid w:val="00CA6050"/>
    <w:rsid w:val="00CA7EEA"/>
    <w:rsid w:val="00CB506C"/>
    <w:rsid w:val="00CB50F0"/>
    <w:rsid w:val="00CC2AC9"/>
    <w:rsid w:val="00CC46EC"/>
    <w:rsid w:val="00CD405D"/>
    <w:rsid w:val="00CD4D85"/>
    <w:rsid w:val="00CF6A01"/>
    <w:rsid w:val="00D0114D"/>
    <w:rsid w:val="00D10E69"/>
    <w:rsid w:val="00D27D99"/>
    <w:rsid w:val="00D305F3"/>
    <w:rsid w:val="00D32271"/>
    <w:rsid w:val="00D3563F"/>
    <w:rsid w:val="00D40C54"/>
    <w:rsid w:val="00D568C4"/>
    <w:rsid w:val="00D65ECA"/>
    <w:rsid w:val="00D733FB"/>
    <w:rsid w:val="00D73B60"/>
    <w:rsid w:val="00D73FAD"/>
    <w:rsid w:val="00D743DB"/>
    <w:rsid w:val="00D7560E"/>
    <w:rsid w:val="00D7561F"/>
    <w:rsid w:val="00D9504F"/>
    <w:rsid w:val="00D96FB9"/>
    <w:rsid w:val="00D97D16"/>
    <w:rsid w:val="00DA1EBB"/>
    <w:rsid w:val="00DA527C"/>
    <w:rsid w:val="00DC181F"/>
    <w:rsid w:val="00DC3883"/>
    <w:rsid w:val="00DD643F"/>
    <w:rsid w:val="00DF0CAD"/>
    <w:rsid w:val="00DF3C8A"/>
    <w:rsid w:val="00DF6194"/>
    <w:rsid w:val="00DF6A80"/>
    <w:rsid w:val="00DF6FD4"/>
    <w:rsid w:val="00DF797F"/>
    <w:rsid w:val="00DF7BF2"/>
    <w:rsid w:val="00E020F2"/>
    <w:rsid w:val="00E04BF8"/>
    <w:rsid w:val="00E2521A"/>
    <w:rsid w:val="00E25504"/>
    <w:rsid w:val="00E309C3"/>
    <w:rsid w:val="00E32246"/>
    <w:rsid w:val="00E3695A"/>
    <w:rsid w:val="00E37347"/>
    <w:rsid w:val="00E37936"/>
    <w:rsid w:val="00E37D39"/>
    <w:rsid w:val="00E55164"/>
    <w:rsid w:val="00E55867"/>
    <w:rsid w:val="00E60591"/>
    <w:rsid w:val="00E609F7"/>
    <w:rsid w:val="00E62C24"/>
    <w:rsid w:val="00E63062"/>
    <w:rsid w:val="00E6698E"/>
    <w:rsid w:val="00E66DAB"/>
    <w:rsid w:val="00E72EC2"/>
    <w:rsid w:val="00E739F9"/>
    <w:rsid w:val="00E76535"/>
    <w:rsid w:val="00E81E22"/>
    <w:rsid w:val="00E9329C"/>
    <w:rsid w:val="00EA1050"/>
    <w:rsid w:val="00EA29F1"/>
    <w:rsid w:val="00EA31EB"/>
    <w:rsid w:val="00EA3D9F"/>
    <w:rsid w:val="00EA3FAA"/>
    <w:rsid w:val="00EA543A"/>
    <w:rsid w:val="00EB29B9"/>
    <w:rsid w:val="00EB5FB5"/>
    <w:rsid w:val="00EC3B3C"/>
    <w:rsid w:val="00EC522E"/>
    <w:rsid w:val="00ED2809"/>
    <w:rsid w:val="00ED46E1"/>
    <w:rsid w:val="00ED7944"/>
    <w:rsid w:val="00EF21D5"/>
    <w:rsid w:val="00F02D86"/>
    <w:rsid w:val="00F03603"/>
    <w:rsid w:val="00F0452A"/>
    <w:rsid w:val="00F05D49"/>
    <w:rsid w:val="00F07959"/>
    <w:rsid w:val="00F0795E"/>
    <w:rsid w:val="00F230D6"/>
    <w:rsid w:val="00F267C7"/>
    <w:rsid w:val="00F27AF4"/>
    <w:rsid w:val="00F32542"/>
    <w:rsid w:val="00F35DFB"/>
    <w:rsid w:val="00F408D5"/>
    <w:rsid w:val="00F44625"/>
    <w:rsid w:val="00F45CB4"/>
    <w:rsid w:val="00F46F89"/>
    <w:rsid w:val="00F509C7"/>
    <w:rsid w:val="00F50B52"/>
    <w:rsid w:val="00F52258"/>
    <w:rsid w:val="00F5593D"/>
    <w:rsid w:val="00F61003"/>
    <w:rsid w:val="00F6705A"/>
    <w:rsid w:val="00F70D1F"/>
    <w:rsid w:val="00F76C60"/>
    <w:rsid w:val="00F808E1"/>
    <w:rsid w:val="00F84D19"/>
    <w:rsid w:val="00F84FF3"/>
    <w:rsid w:val="00F95337"/>
    <w:rsid w:val="00FA36AA"/>
    <w:rsid w:val="00FA518F"/>
    <w:rsid w:val="00FA5FA0"/>
    <w:rsid w:val="00FA7816"/>
    <w:rsid w:val="00FB0FE2"/>
    <w:rsid w:val="00FB3831"/>
    <w:rsid w:val="00FB433F"/>
    <w:rsid w:val="00FB454B"/>
    <w:rsid w:val="00FB49A8"/>
    <w:rsid w:val="00FB5475"/>
    <w:rsid w:val="00FB67F7"/>
    <w:rsid w:val="00FB71F8"/>
    <w:rsid w:val="00FC511F"/>
    <w:rsid w:val="00FC54F1"/>
    <w:rsid w:val="00FD733E"/>
    <w:rsid w:val="00FE33CE"/>
    <w:rsid w:val="00FE4E56"/>
    <w:rsid w:val="00FE5687"/>
    <w:rsid w:val="00FE74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basedOn w:val="DefaultParagraphFont"/>
    <w:uiPriority w:val="99"/>
    <w:unhideWhenUsed/>
    <w:rsid w:val="005B2AA5"/>
    <w:rPr>
      <w:color w:val="0563C1" w:themeColor="hyperlink"/>
      <w:u w:val="single"/>
    </w:rPr>
  </w:style>
  <w:style w:type="paragraph" w:styleId="ListParagraph">
    <w:name w:val="List Paragraph"/>
    <w:basedOn w:val="Normal"/>
    <w:uiPriority w:val="34"/>
    <w:qFormat/>
    <w:rsid w:val="005B2AA5"/>
    <w:pPr>
      <w:ind w:left="720"/>
      <w:contextualSpacing/>
    </w:pPr>
  </w:style>
  <w:style w:type="character" w:styleId="UnresolvedMention">
    <w:name w:val="Unresolved Mention"/>
    <w:basedOn w:val="DefaultParagraphFont"/>
    <w:uiPriority w:val="99"/>
    <w:semiHidden/>
    <w:unhideWhenUsed/>
    <w:rsid w:val="00492D26"/>
    <w:rPr>
      <w:color w:val="605E5C"/>
      <w:shd w:val="clear" w:color="auto" w:fill="E1DFDD"/>
    </w:rPr>
  </w:style>
  <w:style w:type="character" w:styleId="CommentReference">
    <w:name w:val="annotation reference"/>
    <w:basedOn w:val="DefaultParagraphFont"/>
    <w:uiPriority w:val="99"/>
    <w:semiHidden/>
    <w:unhideWhenUsed/>
    <w:rsid w:val="00401083"/>
    <w:rPr>
      <w:sz w:val="16"/>
      <w:szCs w:val="16"/>
    </w:rPr>
  </w:style>
  <w:style w:type="paragraph" w:styleId="CommentText">
    <w:name w:val="annotation text"/>
    <w:basedOn w:val="Normal"/>
    <w:link w:val="CommentTextChar"/>
    <w:uiPriority w:val="99"/>
    <w:unhideWhenUsed/>
    <w:rsid w:val="00401083"/>
    <w:pPr>
      <w:spacing w:after="20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401083"/>
    <w:rPr>
      <w:rFonts w:asciiTheme="minorHAnsi" w:eastAsiaTheme="minorHAnsi" w:hAnsiTheme="minorHAnsi"/>
      <w:sz w:val="20"/>
      <w:szCs w:val="20"/>
    </w:rPr>
  </w:style>
  <w:style w:type="table" w:styleId="TableGrid">
    <w:name w:val="Table Grid"/>
    <w:basedOn w:val="TableNormal"/>
    <w:uiPriority w:val="39"/>
    <w:rsid w:val="00401083"/>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401083"/>
    <w:rPr>
      <w:i/>
      <w:iCs/>
      <w:color w:val="41B6E6" w:themeColor="accent1"/>
    </w:rPr>
  </w:style>
  <w:style w:type="paragraph" w:styleId="CommentSubject">
    <w:name w:val="annotation subject"/>
    <w:basedOn w:val="CommentText"/>
    <w:next w:val="CommentText"/>
    <w:link w:val="CommentSubjectChar"/>
    <w:uiPriority w:val="99"/>
    <w:semiHidden/>
    <w:unhideWhenUsed/>
    <w:rsid w:val="00401083"/>
    <w:pPr>
      <w:spacing w:after="0"/>
    </w:pPr>
    <w:rPr>
      <w:rFonts w:ascii="Arial" w:eastAsiaTheme="minorEastAsia" w:hAnsi="Arial"/>
      <w:b/>
      <w:bCs/>
    </w:rPr>
  </w:style>
  <w:style w:type="character" w:customStyle="1" w:styleId="CommentSubjectChar">
    <w:name w:val="Comment Subject Char"/>
    <w:basedOn w:val="CommentTextChar"/>
    <w:link w:val="CommentSubject"/>
    <w:uiPriority w:val="99"/>
    <w:semiHidden/>
    <w:rsid w:val="00401083"/>
    <w:rPr>
      <w:rFonts w:asciiTheme="minorHAnsi" w:eastAsiaTheme="minorHAnsi" w:hAnsiTheme="minorHAnsi"/>
      <w:b/>
      <w:bCs/>
      <w:sz w:val="20"/>
      <w:szCs w:val="20"/>
    </w:rPr>
  </w:style>
  <w:style w:type="paragraph" w:styleId="Revision">
    <w:name w:val="Revision"/>
    <w:hidden/>
    <w:uiPriority w:val="99"/>
    <w:semiHidden/>
    <w:rsid w:val="00950E33"/>
  </w:style>
  <w:style w:type="paragraph" w:styleId="FootnoteText">
    <w:name w:val="footnote text"/>
    <w:basedOn w:val="Normal"/>
    <w:link w:val="FootnoteTextChar"/>
    <w:uiPriority w:val="99"/>
    <w:semiHidden/>
    <w:unhideWhenUsed/>
    <w:rsid w:val="00C23934"/>
    <w:rPr>
      <w:sz w:val="20"/>
      <w:szCs w:val="20"/>
    </w:rPr>
  </w:style>
  <w:style w:type="character" w:customStyle="1" w:styleId="FootnoteTextChar">
    <w:name w:val="Footnote Text Char"/>
    <w:basedOn w:val="DefaultParagraphFont"/>
    <w:link w:val="FootnoteText"/>
    <w:uiPriority w:val="99"/>
    <w:semiHidden/>
    <w:rsid w:val="00C23934"/>
    <w:rPr>
      <w:sz w:val="20"/>
      <w:szCs w:val="20"/>
    </w:rPr>
  </w:style>
  <w:style w:type="character" w:styleId="FootnoteReference">
    <w:name w:val="footnote reference"/>
    <w:basedOn w:val="DefaultParagraphFont"/>
    <w:uiPriority w:val="99"/>
    <w:semiHidden/>
    <w:unhideWhenUsed/>
    <w:rsid w:val="00C23934"/>
    <w:rPr>
      <w:vertAlign w:val="superscript"/>
    </w:rPr>
  </w:style>
  <w:style w:type="character" w:customStyle="1" w:styleId="ui-provider">
    <w:name w:val="ui-provider"/>
    <w:basedOn w:val="DefaultParagraphFont"/>
    <w:rsid w:val="001D212C"/>
  </w:style>
  <w:style w:type="character" w:styleId="Mention">
    <w:name w:val="Mention"/>
    <w:basedOn w:val="DefaultParagraphFont"/>
    <w:uiPriority w:val="99"/>
    <w:unhideWhenUsed/>
    <w:rsid w:val="0091548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8691">
      <w:bodyDiv w:val="1"/>
      <w:marLeft w:val="0"/>
      <w:marRight w:val="0"/>
      <w:marTop w:val="0"/>
      <w:marBottom w:val="0"/>
      <w:divBdr>
        <w:top w:val="none" w:sz="0" w:space="0" w:color="auto"/>
        <w:left w:val="none" w:sz="0" w:space="0" w:color="auto"/>
        <w:bottom w:val="none" w:sz="0" w:space="0" w:color="auto"/>
        <w:right w:val="none" w:sz="0" w:space="0" w:color="auto"/>
      </w:divBdr>
    </w:div>
    <w:div w:id="638996534">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801190745">
      <w:bodyDiv w:val="1"/>
      <w:marLeft w:val="0"/>
      <w:marRight w:val="0"/>
      <w:marTop w:val="0"/>
      <w:marBottom w:val="0"/>
      <w:divBdr>
        <w:top w:val="none" w:sz="0" w:space="0" w:color="auto"/>
        <w:left w:val="none" w:sz="0" w:space="0" w:color="auto"/>
        <w:bottom w:val="none" w:sz="0" w:space="0" w:color="auto"/>
        <w:right w:val="none" w:sz="0" w:space="0" w:color="auto"/>
      </w:divBdr>
    </w:div>
    <w:div w:id="892883140">
      <w:bodyDiv w:val="1"/>
      <w:marLeft w:val="0"/>
      <w:marRight w:val="0"/>
      <w:marTop w:val="0"/>
      <w:marBottom w:val="0"/>
      <w:divBdr>
        <w:top w:val="none" w:sz="0" w:space="0" w:color="auto"/>
        <w:left w:val="none" w:sz="0" w:space="0" w:color="auto"/>
        <w:bottom w:val="none" w:sz="0" w:space="0" w:color="auto"/>
        <w:right w:val="none" w:sz="0" w:space="0" w:color="auto"/>
      </w:divBdr>
    </w:div>
    <w:div w:id="1383406484">
      <w:bodyDiv w:val="1"/>
      <w:marLeft w:val="0"/>
      <w:marRight w:val="0"/>
      <w:marTop w:val="0"/>
      <w:marBottom w:val="0"/>
      <w:divBdr>
        <w:top w:val="none" w:sz="0" w:space="0" w:color="auto"/>
        <w:left w:val="none" w:sz="0" w:space="0" w:color="auto"/>
        <w:bottom w:val="none" w:sz="0" w:space="0" w:color="auto"/>
        <w:right w:val="none" w:sz="0" w:space="0" w:color="auto"/>
      </w:divBdr>
    </w:div>
    <w:div w:id="1415711070">
      <w:bodyDiv w:val="1"/>
      <w:marLeft w:val="0"/>
      <w:marRight w:val="0"/>
      <w:marTop w:val="0"/>
      <w:marBottom w:val="0"/>
      <w:divBdr>
        <w:top w:val="none" w:sz="0" w:space="0" w:color="auto"/>
        <w:left w:val="none" w:sz="0" w:space="0" w:color="auto"/>
        <w:bottom w:val="none" w:sz="0" w:space="0" w:color="auto"/>
        <w:right w:val="none" w:sz="0" w:space="0" w:color="auto"/>
      </w:divBdr>
    </w:div>
    <w:div w:id="1681347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onlinesurveys.jisc.ac.uk/s/healtheducationyh/application-form-5" TargetMode="External"/><Relationship Id="rId18" Type="http://schemas.openxmlformats.org/officeDocument/2006/relationships/hyperlink" Target="https://gbr01.safelinks.protection.outlook.com/?url=https%3A%2F%2Fwww.england.nhs.uk%2Fpublication%2Fnhs-long-term-workforce-plan%2F&amp;data=05%7C02%7Cashleigh.stewart9%40nhs.net%7Ccf1e419188ee4f5d91c408dc3a081682%7C37c354b285b047f5b22207b48d774ee3%7C0%7C0%7C638449053604676812%7CUnknown%7CTWFpbGZsb3d8eyJWIjoiMC4wLjAwMDAiLCJQIjoiV2luMzIiLCJBTiI6Ik1haWwiLCJXVCI6Mn0%3D%7C0%7C%7C%7C&amp;sdata=jiZRM4uxt041QW6c5OcfuQTqq8KDXuCcYRo85XvYe6A%3D&amp;reserved=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england.canceranddiagnostics.se@nhs.net" TargetMode="External"/><Relationship Id="rId17" Type="http://schemas.openxmlformats.org/officeDocument/2006/relationships/hyperlink" Target="https://gbr01.safelinks.protection.outlook.com/?url=https%3A%2F%2Fwww.hee.nhs.uk%2Four-work%2Feducator-workforce-strategy&amp;data=05%7C02%7Cashleigh.stewart9%40nhs.net%7Ccf1e419188ee4f5d91c408dc3a081682%7C37c354b285b047f5b22207b48d774ee3%7C0%7C0%7C638449053604670915%7CUnknown%7CTWFpbGZsb3d8eyJWIjoiMC4wLjAwMDAiLCJQIjoiV2luMzIiLCJBTiI6Ik1haWwiLCJXVCI6Mn0%3D%7C0%7C%7C%7C&amp;sdata=wWbeXbZi9cA4HLSZVVaWq43QqSmVaI4i9duRQG8n7Nc%3D&amp;reserved=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pp.onlinesurveys.jisc.ac.uk/s/healtheducationyh/application-form-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onlinesurveys.jisc.ac.uk/s/healtheducationyh/application-form-5"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england.canceranddiagnostics.se@nhs.net"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england.canceranddiagnostics.se@nhs.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gland.canceranddiagnostics.se@nhs.net"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5E1998A367914AA40911E145DA85CF" ma:contentTypeVersion="27" ma:contentTypeDescription="Create a new document." ma:contentTypeScope="" ma:versionID="7ff9feb136bdd63c3b96edf4b6bafb59">
  <xsd:schema xmlns:xsd="http://www.w3.org/2001/XMLSchema" xmlns:xs="http://www.w3.org/2001/XMLSchema" xmlns:p="http://schemas.microsoft.com/office/2006/metadata/properties" xmlns:ns2="7f306fc3-3c3d-4d13-97f5-42cd1ad5d06f" xmlns:ns3="b825f3b1-0e88-46e5-8be6-2e66319fe22b" targetNamespace="http://schemas.microsoft.com/office/2006/metadata/properties" ma:root="true" ma:fieldsID="d4345e31f95fdd3f3b2f93951c3f3e19" ns2:_="" ns3:_="">
    <xsd:import namespace="7f306fc3-3c3d-4d13-97f5-42cd1ad5d06f"/>
    <xsd:import namespace="b825f3b1-0e88-46e5-8be6-2e66319fe2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3:SharedWithUsers" minOccurs="0"/>
                <xsd:element ref="ns3:SharedWithDetails" minOccurs="0"/>
                <xsd:element ref="ns2:_Flow_SignoffStatu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test" minOccurs="0"/>
                <xsd:element ref="ns3:_ip_UnifiedCompliancePolicyProperties" minOccurs="0"/>
                <xsd:element ref="ns3: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06fc3-3c3d-4d13-97f5-42cd1ad5d06f"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description="" ma:hidden="true" ma:internalName="MediaServiceDateTaken" ma:readOnly="true">
      <xsd:simpleType>
        <xsd:restriction base="dms:Text"/>
      </xsd:simpleType>
    </xsd:element>
    <xsd:element name="MediaLengthInSeconds" ma:index="7" nillable="true" ma:displayName="MediaLengthInSeconds" ma:description="" ma:internalName="MediaLengthInSeconds" ma:readOnly="true">
      <xsd:simpleType>
        <xsd:restriction base="dms:Unknow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_Flow_SignoffStatus" ma:index="12" nillable="true" ma:displayName="Sign-off status" ma:internalName="Sign_x002d_off_x0020_status" ma:readOnly="fals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test" ma:index="19" nillable="true" ma:displayName="test" ma:internalName="test" ma:readOnly="false">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25f3b1-0e88-46e5-8be6-2e66319fe22b"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334c738-f7ed-453d-8199-f913045d18c3}" ma:internalName="TaxCatchAll" ma:showField="CatchAllData" ma:web="b825f3b1-0e88-46e5-8be6-2e66319fe22b">
      <xsd:complexType>
        <xsd:complexContent>
          <xsd:extension base="dms:MultiChoiceLookup">
            <xsd:sequence>
              <xsd:element name="Value" type="dms:Lookup" maxOccurs="unbounded" minOccurs="0" nillable="true"/>
            </xsd:sequence>
          </xsd:extension>
        </xsd:complexContent>
      </xsd:complexType>
    </xsd:element>
    <xsd:element name="_ip_UnifiedCompliancePolicyProperties" ma:index="24" nillable="true" ma:displayName="Unified Compliance Policy Properties" ma:internalName="_ip_UnifiedCompliancePolicyProperties" ma:readOnly="false">
      <xsd:simpleType>
        <xsd:restriction base="dms:Note"/>
      </xsd:simpleType>
    </xsd:element>
    <xsd:element name="_ip_UnifiedCompliancePolicyUIAction" ma:index="25" nillable="true" ma:displayName="Unified Compliance Policy UI Action" ma:hidden="true" ma:internalName="_ip_UnifiedCompliancePolicyUIAct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825f3b1-0e88-46e5-8be6-2e66319fe22b" xsi:nil="true"/>
    <lcf76f155ced4ddcb4097134ff3c332f xmlns="7f306fc3-3c3d-4d13-97f5-42cd1ad5d06f">
      <Terms xmlns="http://schemas.microsoft.com/office/infopath/2007/PartnerControls"/>
    </lcf76f155ced4ddcb4097134ff3c332f>
    <test xmlns="7f306fc3-3c3d-4d13-97f5-42cd1ad5d06f" xsi:nil="true"/>
    <_ip_UnifiedCompliancePolicyUIAction xmlns="b825f3b1-0e88-46e5-8be6-2e66319fe22b" xsi:nil="true"/>
    <_Flow_SignoffStatus xmlns="7f306fc3-3c3d-4d13-97f5-42cd1ad5d06f" xsi:nil="true"/>
    <_ip_UnifiedCompliancePolicyProperties xmlns="b825f3b1-0e88-46e5-8be6-2e66319fe22b" xsi:nil="true"/>
  </documentManagement>
</p:properties>
</file>

<file path=customXml/itemProps1.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2.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3.xml><?xml version="1.0" encoding="utf-8"?>
<ds:datastoreItem xmlns:ds="http://schemas.openxmlformats.org/officeDocument/2006/customXml" ds:itemID="{E0F5D9F9-D15B-4B72-8D00-0FD26FDA8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06fc3-3c3d-4d13-97f5-42cd1ad5d06f"/>
    <ds:schemaRef ds:uri="b825f3b1-0e88-46e5-8be6-2e66319fe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DA8DFD-A23C-42FE-B2B5-51A3CDB168E1}">
  <ds:schemaRefs>
    <ds:schemaRef ds:uri="http://purl.org/dc/dcmitype/"/>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b825f3b1-0e88-46e5-8be6-2e66319fe22b"/>
    <ds:schemaRef ds:uri="7f306fc3-3c3d-4d13-97f5-42cd1ad5d06f"/>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4</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BOYD, Callum (NHS ENGLAND - T1510)</cp:lastModifiedBy>
  <cp:revision>141</cp:revision>
  <cp:lastPrinted>2021-01-11T11:40:00Z</cp:lastPrinted>
  <dcterms:created xsi:type="dcterms:W3CDTF">2024-02-01T11:57:00Z</dcterms:created>
  <dcterms:modified xsi:type="dcterms:W3CDTF">2024-03-05T08:47:00Z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0x010100F85E1998A367914AA40911E145DA85CF</vt:lpwstr>
  </property>
  <property fmtid="{D5CDD505-2E9C-101B-9397-08002B2CF9AE}" pid="3" name="MediaServiceImageTags">
    <vt:lpwstr/>
  </property>
  <property fmtid="{D5CDD505-2E9C-101B-9397-08002B2CF9AE}" pid="4" name="_ExtendedDescription">
    <vt:lpwstr/>
  </property>
</Properties>
</file>