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6D19FF94"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1A03A4">
        <w:rPr>
          <w:color w:val="005EB8"/>
          <w:sz w:val="36"/>
          <w:szCs w:val="36"/>
        </w:rPr>
        <w:t xml:space="preserve">Pathology </w:t>
      </w:r>
      <w:r w:rsidR="00971F2C">
        <w:rPr>
          <w:color w:val="005EB8"/>
          <w:sz w:val="36"/>
          <w:szCs w:val="36"/>
        </w:rPr>
        <w:t>Practice Educat</w:t>
      </w:r>
      <w:r w:rsidR="00B57C0F">
        <w:rPr>
          <w:color w:val="005EB8"/>
          <w:sz w:val="36"/>
          <w:szCs w:val="36"/>
        </w:rPr>
        <w:t>or</w:t>
      </w:r>
      <w:r w:rsidR="00971F2C">
        <w:rPr>
          <w:color w:val="005EB8"/>
          <w:sz w:val="36"/>
          <w:szCs w:val="36"/>
        </w:rPr>
        <w:t xml:space="preserve"> </w:t>
      </w:r>
      <w:r w:rsidRPr="00C5663F">
        <w:rPr>
          <w:color w:val="005EB8"/>
          <w:sz w:val="36"/>
          <w:szCs w:val="36"/>
        </w:rPr>
        <w:t xml:space="preserve">Funding </w:t>
      </w:r>
      <w:r w:rsidR="00E739F9">
        <w:rPr>
          <w:color w:val="005EB8"/>
          <w:sz w:val="36"/>
          <w:szCs w:val="36"/>
        </w:rPr>
        <w:t>2024/25</w:t>
      </w:r>
    </w:p>
    <w:bookmarkEnd w:id="0"/>
    <w:p w14:paraId="4C1514C2" w14:textId="6003171C" w:rsidR="0036112F" w:rsidRDefault="0036112F" w:rsidP="0036112F">
      <w:pPr>
        <w:pStyle w:val="Heading2"/>
      </w:pPr>
      <w:r>
        <w:t xml:space="preserve">Information for </w:t>
      </w:r>
      <w:r w:rsidR="00E7384C">
        <w:t>Pathology Networks</w:t>
      </w:r>
      <w:r>
        <w:t xml:space="preserve"> on how to access this funding, including the application </w:t>
      </w:r>
      <w:r w:rsidR="00A9515C">
        <w:t>process.</w:t>
      </w:r>
    </w:p>
    <w:p w14:paraId="2D9D6715" w14:textId="2C8CB8CD" w:rsidR="0036112F" w:rsidRDefault="0036112F" w:rsidP="00107CF7">
      <w:r w:rsidRPr="004B3B37">
        <w:rPr>
          <w:bCs/>
          <w:color w:val="0072CE"/>
        </w:rPr>
        <w:t xml:space="preserve">For any queries about this funding or details within this document, please contact the </w:t>
      </w:r>
      <w:r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Pr="004B3B37">
        <w:rPr>
          <w:bCs/>
          <w:color w:val="0072CE"/>
        </w:rPr>
        <w:t>,</w:t>
      </w:r>
      <w:r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3548F455" w14:textId="2D9A684A" w:rsidR="0036112F" w:rsidRDefault="009835E3" w:rsidP="00107CF7">
      <w:r>
        <w:rPr>
          <w:noProof/>
        </w:rPr>
        <mc:AlternateContent>
          <mc:Choice Requires="wps">
            <w:drawing>
              <wp:anchor distT="0" distB="0" distL="114300" distR="114300" simplePos="0" relativeHeight="251658240" behindDoc="0" locked="0" layoutInCell="1" allowOverlap="1" wp14:anchorId="0694FA83" wp14:editId="179FB43B">
                <wp:simplePos x="0" y="0"/>
                <wp:positionH relativeFrom="margin">
                  <wp:align>left</wp:align>
                </wp:positionH>
                <wp:positionV relativeFrom="paragraph">
                  <wp:posOffset>294005</wp:posOffset>
                </wp:positionV>
                <wp:extent cx="6461760" cy="5358765"/>
                <wp:effectExtent l="0" t="0" r="15240" b="1333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5358765"/>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3A6B4142"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 xml:space="preserve">Pathology </w:t>
                            </w:r>
                            <w:r w:rsidR="00971F2C">
                              <w:rPr>
                                <w:sz w:val="24"/>
                                <w:szCs w:val="24"/>
                              </w:rPr>
                              <w:t>Practice Education</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2244AFB1"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 xml:space="preserve">Pathology </w:t>
                            </w:r>
                            <w:r w:rsidR="00971F2C">
                              <w:rPr>
                                <w:rFonts w:cs="Arial"/>
                                <w:sz w:val="23"/>
                                <w:szCs w:val="23"/>
                                <w:lang w:val="en-US"/>
                              </w:rPr>
                              <w:t>Practice Educat</w:t>
                            </w:r>
                            <w:r w:rsidR="00B57C0F">
                              <w:rPr>
                                <w:rFonts w:cs="Arial"/>
                                <w:sz w:val="23"/>
                                <w:szCs w:val="23"/>
                                <w:lang w:val="en-US"/>
                              </w:rPr>
                              <w:t>or</w:t>
                            </w:r>
                            <w:r w:rsidR="001B468B">
                              <w:rPr>
                                <w:rFonts w:cs="Arial"/>
                                <w:sz w:val="23"/>
                                <w:szCs w:val="23"/>
                                <w:lang w:val="en-US"/>
                              </w:rPr>
                              <w:t xml:space="preserve"> funding.</w:t>
                            </w:r>
                            <w:r w:rsidR="00FD7AFC" w:rsidRPr="00BF39A8">
                              <w:rPr>
                                <w:rFonts w:cs="Arial"/>
                                <w:sz w:val="23"/>
                                <w:szCs w:val="23"/>
                                <w:lang w:val="en-US"/>
                              </w:rPr>
                              <w:t xml:space="preserve"> </w:t>
                            </w:r>
                          </w:p>
                          <w:p w14:paraId="7D9D41C3" w14:textId="77777777" w:rsidR="0036112F" w:rsidRPr="00BF39A8" w:rsidRDefault="0036112F" w:rsidP="0036112F">
                            <w:pPr>
                              <w:rPr>
                                <w:rFonts w:cs="Arial"/>
                                <w:sz w:val="23"/>
                                <w:szCs w:val="23"/>
                              </w:rPr>
                            </w:pPr>
                          </w:p>
                          <w:p w14:paraId="0C73BFB0" w14:textId="72B25EA9"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971F2C">
                              <w:rPr>
                                <w:rFonts w:cs="Arial"/>
                                <w:color w:val="1C1C1C"/>
                                <w:sz w:val="23"/>
                                <w:szCs w:val="23"/>
                                <w:lang w:val="en-US"/>
                              </w:rPr>
                              <w:t xml:space="preserve">, providing </w:t>
                            </w:r>
                            <w:r w:rsidR="00971F2C" w:rsidRPr="00971F2C">
                              <w:rPr>
                                <w:rFonts w:cs="Arial"/>
                                <w:color w:val="1C1C1C"/>
                                <w:sz w:val="23"/>
                                <w:szCs w:val="23"/>
                                <w:lang w:val="en-US"/>
                              </w:rPr>
                              <w:t xml:space="preserve">support and clinical education to staff and learners to improve their professional practice alongside academic colleagues. </w:t>
                            </w:r>
                            <w:r w:rsidR="00677B8F">
                              <w:rPr>
                                <w:rFonts w:cs="Arial"/>
                                <w:color w:val="1C1C1C"/>
                                <w:sz w:val="23"/>
                                <w:szCs w:val="23"/>
                                <w:lang w:val="en-US"/>
                              </w:rPr>
                              <w:t>Feedback suggests that t</w:t>
                            </w:r>
                            <w:r w:rsidR="00971F2C">
                              <w:rPr>
                                <w:rFonts w:cs="Arial"/>
                                <w:color w:val="1C1C1C"/>
                                <w:sz w:val="23"/>
                                <w:szCs w:val="23"/>
                                <w:lang w:val="en-US"/>
                              </w:rPr>
                              <w:t xml:space="preserve">he Practice Educator </w:t>
                            </w:r>
                            <w:r w:rsidR="00971F2C" w:rsidRPr="00971F2C">
                              <w:rPr>
                                <w:rFonts w:cs="Arial"/>
                                <w:color w:val="1C1C1C"/>
                                <w:sz w:val="23"/>
                                <w:szCs w:val="23"/>
                                <w:lang w:val="en-US"/>
                              </w:rPr>
                              <w:t xml:space="preserve">role within the </w:t>
                            </w:r>
                            <w:r w:rsidR="00DE7062">
                              <w:rPr>
                                <w:rFonts w:cs="Arial"/>
                                <w:color w:val="1C1C1C"/>
                                <w:sz w:val="23"/>
                                <w:szCs w:val="23"/>
                                <w:lang w:val="en-US"/>
                              </w:rPr>
                              <w:t xml:space="preserve">Pathology Network </w:t>
                            </w:r>
                            <w:r w:rsidR="00D624D2">
                              <w:rPr>
                                <w:rFonts w:cs="Arial"/>
                                <w:color w:val="1C1C1C"/>
                                <w:sz w:val="23"/>
                                <w:szCs w:val="23"/>
                                <w:lang w:val="en-US"/>
                              </w:rPr>
                              <w:t xml:space="preserve">plays a </w:t>
                            </w:r>
                            <w:r w:rsidR="00971F2C">
                              <w:rPr>
                                <w:rFonts w:cs="Arial"/>
                                <w:color w:val="1C1C1C"/>
                                <w:sz w:val="23"/>
                                <w:szCs w:val="23"/>
                                <w:lang w:val="en-US"/>
                              </w:rPr>
                              <w:t xml:space="preserve">key </w:t>
                            </w:r>
                            <w:r w:rsidR="00D624D2">
                              <w:rPr>
                                <w:rFonts w:cs="Arial"/>
                                <w:color w:val="1C1C1C"/>
                                <w:sz w:val="23"/>
                                <w:szCs w:val="23"/>
                                <w:lang w:val="en-US"/>
                              </w:rPr>
                              <w:t xml:space="preserve">role in </w:t>
                            </w:r>
                            <w:r w:rsidR="00971F2C" w:rsidRPr="00971F2C">
                              <w:rPr>
                                <w:rFonts w:cs="Arial"/>
                                <w:color w:val="1C1C1C"/>
                                <w:sz w:val="23"/>
                                <w:szCs w:val="23"/>
                                <w:lang w:val="en-US"/>
                              </w:rPr>
                              <w:t>support</w:t>
                            </w:r>
                            <w:r w:rsidR="00971F2C">
                              <w:rPr>
                                <w:rFonts w:cs="Arial"/>
                                <w:color w:val="1C1C1C"/>
                                <w:sz w:val="23"/>
                                <w:szCs w:val="23"/>
                                <w:lang w:val="en-US"/>
                              </w:rPr>
                              <w:t>ing</w:t>
                            </w:r>
                            <w:r w:rsidR="00971F2C" w:rsidRPr="00971F2C">
                              <w:rPr>
                                <w:rFonts w:cs="Arial"/>
                                <w:color w:val="1C1C1C"/>
                                <w:sz w:val="23"/>
                                <w:szCs w:val="23"/>
                                <w:lang w:val="en-US"/>
                              </w:rPr>
                              <w:t xml:space="preserve"> </w:t>
                            </w:r>
                            <w:r w:rsidR="00D624D2">
                              <w:rPr>
                                <w:rFonts w:cs="Arial"/>
                                <w:color w:val="1C1C1C"/>
                                <w:sz w:val="23"/>
                                <w:szCs w:val="23"/>
                                <w:lang w:val="en-US"/>
                              </w:rPr>
                              <w:t>p</w:t>
                            </w:r>
                            <w:r w:rsidR="00971F2C" w:rsidRPr="00971F2C">
                              <w:rPr>
                                <w:rFonts w:cs="Arial"/>
                                <w:color w:val="1C1C1C"/>
                                <w:sz w:val="23"/>
                                <w:szCs w:val="23"/>
                                <w:lang w:val="en-US"/>
                              </w:rPr>
                              <w:t>athology workforce expansion.</w:t>
                            </w:r>
                            <w:r w:rsidR="00971F2C">
                              <w:rPr>
                                <w:rFonts w:cs="Arial"/>
                                <w:color w:val="1C1C1C"/>
                                <w:sz w:val="23"/>
                                <w:szCs w:val="23"/>
                                <w:lang w:val="en-US"/>
                              </w:rPr>
                              <w:t xml:space="preserve"> </w:t>
                            </w:r>
                            <w:r w:rsidRPr="00BF39A8">
                              <w:rPr>
                                <w:rFonts w:cs="Arial"/>
                                <w:sz w:val="23"/>
                                <w:szCs w:val="23"/>
                                <w:lang w:val="en-US"/>
                              </w:rPr>
                              <w:t>T</w:t>
                            </w:r>
                            <w:r w:rsidRPr="00BF39A8">
                              <w:rPr>
                                <w:rFonts w:cs="Arial"/>
                                <w:color w:val="1C1C1C"/>
                                <w:sz w:val="23"/>
                                <w:szCs w:val="23"/>
                                <w:lang w:val="en-US"/>
                              </w:rPr>
                              <w:t>o further support this, there will be an</w:t>
                            </w:r>
                            <w:r w:rsidR="00DE7062">
                              <w:rPr>
                                <w:rFonts w:cs="Arial"/>
                                <w:color w:val="1C1C1C"/>
                                <w:sz w:val="23"/>
                                <w:szCs w:val="23"/>
                                <w:lang w:val="en-US"/>
                              </w:rPr>
                              <w:t xml:space="preserve"> evaluation of </w:t>
                            </w:r>
                            <w:r w:rsidRPr="00BF39A8">
                              <w:rPr>
                                <w:rFonts w:cs="Arial"/>
                                <w:color w:val="1C1C1C"/>
                                <w:sz w:val="23"/>
                                <w:szCs w:val="23"/>
                                <w:lang w:val="en-US"/>
                              </w:rPr>
                              <w:t xml:space="preserve">investment </w:t>
                            </w:r>
                            <w:r w:rsidR="00DE7062">
                              <w:rPr>
                                <w:rFonts w:cs="Arial"/>
                                <w:color w:val="1C1C1C"/>
                                <w:sz w:val="23"/>
                                <w:szCs w:val="23"/>
                                <w:lang w:val="en-US"/>
                              </w:rPr>
                              <w:t>impact</w:t>
                            </w:r>
                            <w:r w:rsidRPr="00BF39A8">
                              <w:rPr>
                                <w:rFonts w:cs="Arial"/>
                                <w:color w:val="1C1C1C"/>
                                <w:sz w:val="23"/>
                                <w:szCs w:val="23"/>
                                <w:lang w:val="en-US"/>
                              </w:rPr>
                              <w:t xml:space="preserve"> within 2</w:t>
                            </w:r>
                            <w:r w:rsidR="004B341D" w:rsidRPr="00BF39A8">
                              <w:rPr>
                                <w:rFonts w:cs="Arial"/>
                                <w:color w:val="1C1C1C"/>
                                <w:sz w:val="23"/>
                                <w:szCs w:val="23"/>
                                <w:lang w:val="en-US"/>
                              </w:rPr>
                              <w:t>02</w:t>
                            </w:r>
                            <w:r w:rsidRPr="00BF39A8">
                              <w:rPr>
                                <w:rFonts w:cs="Arial"/>
                                <w:color w:val="1C1C1C"/>
                                <w:sz w:val="23"/>
                                <w:szCs w:val="23"/>
                                <w:lang w:val="en-US"/>
                              </w:rPr>
                              <w:t>4/25</w:t>
                            </w:r>
                            <w:r w:rsidR="004B341D" w:rsidRPr="00BF39A8">
                              <w:rPr>
                                <w:rFonts w:cs="Arial"/>
                                <w:color w:val="1C1C1C"/>
                                <w:sz w:val="23"/>
                                <w:szCs w:val="23"/>
                                <w:lang w:val="en-US"/>
                              </w:rPr>
                              <w:t xml:space="preserve"> and 2025/26</w:t>
                            </w:r>
                            <w:r w:rsidR="00FB454B" w:rsidRPr="00BF39A8">
                              <w:rPr>
                                <w:rFonts w:cs="Arial"/>
                                <w:color w:val="1C1C1C"/>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3B9AE45C" w14:textId="6C1AFF45" w:rsidR="00971F2C" w:rsidRDefault="00971F2C" w:rsidP="001B2A57">
                            <w:pPr>
                              <w:pStyle w:val="ListParagraph"/>
                              <w:numPr>
                                <w:ilvl w:val="0"/>
                                <w:numId w:val="15"/>
                              </w:numPr>
                              <w:rPr>
                                <w:rFonts w:cs="Arial"/>
                                <w:color w:val="1C1C1C"/>
                                <w:sz w:val="23"/>
                                <w:szCs w:val="23"/>
                              </w:rPr>
                            </w:pPr>
                            <w:r>
                              <w:rPr>
                                <w:rFonts w:cs="Arial"/>
                                <w:color w:val="1C1C1C"/>
                                <w:sz w:val="23"/>
                                <w:szCs w:val="23"/>
                              </w:rPr>
                              <w:t xml:space="preserve">Is to </w:t>
                            </w:r>
                            <w:r w:rsidR="00BC1D0D">
                              <w:rPr>
                                <w:rFonts w:cs="Arial"/>
                                <w:color w:val="1C1C1C"/>
                                <w:sz w:val="23"/>
                                <w:szCs w:val="23"/>
                              </w:rPr>
                              <w:t xml:space="preserve">fund </w:t>
                            </w:r>
                            <w:r>
                              <w:rPr>
                                <w:rFonts w:cs="Arial"/>
                                <w:color w:val="1C1C1C"/>
                                <w:sz w:val="23"/>
                                <w:szCs w:val="23"/>
                              </w:rPr>
                              <w:t>a Pathology Network Practice Educator</w:t>
                            </w:r>
                          </w:p>
                          <w:p w14:paraId="07AC234E" w14:textId="3E0F38CA" w:rsidR="00971F2C" w:rsidRDefault="00BC1D0D" w:rsidP="001B2A57">
                            <w:pPr>
                              <w:pStyle w:val="ListParagraph"/>
                              <w:numPr>
                                <w:ilvl w:val="0"/>
                                <w:numId w:val="15"/>
                              </w:numPr>
                              <w:rPr>
                                <w:rFonts w:cs="Arial"/>
                                <w:color w:val="1C1C1C"/>
                                <w:sz w:val="23"/>
                                <w:szCs w:val="23"/>
                              </w:rPr>
                            </w:pPr>
                            <w:r>
                              <w:rPr>
                                <w:rFonts w:cs="Arial"/>
                                <w:color w:val="1C1C1C"/>
                                <w:sz w:val="23"/>
                                <w:szCs w:val="23"/>
                              </w:rPr>
                              <w:t>Is b</w:t>
                            </w:r>
                            <w:r w:rsidR="00971F2C">
                              <w:rPr>
                                <w:rFonts w:cs="Arial"/>
                                <w:color w:val="1C1C1C"/>
                                <w:sz w:val="23"/>
                                <w:szCs w:val="23"/>
                              </w:rPr>
                              <w:t xml:space="preserve">ased on </w:t>
                            </w:r>
                            <w:r>
                              <w:rPr>
                                <w:rFonts w:cs="Arial"/>
                                <w:color w:val="1C1C1C"/>
                                <w:sz w:val="23"/>
                                <w:szCs w:val="23"/>
                              </w:rPr>
                              <w:t xml:space="preserve">the </w:t>
                            </w:r>
                            <w:r w:rsidR="00971F2C">
                              <w:rPr>
                                <w:rFonts w:cs="Arial"/>
                                <w:color w:val="1C1C1C"/>
                                <w:sz w:val="23"/>
                                <w:szCs w:val="23"/>
                              </w:rPr>
                              <w:t xml:space="preserve">23/24 funding model, </w:t>
                            </w:r>
                            <w:r w:rsidR="005B19A2">
                              <w:rPr>
                                <w:rFonts w:cs="Arial"/>
                                <w:color w:val="1C1C1C"/>
                                <w:sz w:val="23"/>
                                <w:szCs w:val="23"/>
                              </w:rPr>
                              <w:t xml:space="preserve">which </w:t>
                            </w:r>
                            <w:r w:rsidR="00971F2C">
                              <w:rPr>
                                <w:rFonts w:cs="Arial"/>
                                <w:color w:val="1C1C1C"/>
                                <w:sz w:val="23"/>
                                <w:szCs w:val="23"/>
                              </w:rPr>
                              <w:t>equates to £48,000 per Pathology Network</w:t>
                            </w:r>
                          </w:p>
                          <w:p w14:paraId="24220EFB" w14:textId="59F4EFCF"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w:t>
                            </w:r>
                            <w:r w:rsidR="00971F2C">
                              <w:rPr>
                                <w:rFonts w:cs="Arial"/>
                                <w:color w:val="1C1C1C"/>
                                <w:sz w:val="23"/>
                                <w:szCs w:val="23"/>
                              </w:rPr>
                              <w:t xml:space="preserve"> Pathology Networks who </w:t>
                            </w:r>
                            <w:r w:rsidR="005B19A2">
                              <w:rPr>
                                <w:rFonts w:cs="Arial"/>
                                <w:color w:val="1C1C1C"/>
                                <w:sz w:val="23"/>
                                <w:szCs w:val="23"/>
                              </w:rPr>
                              <w:t xml:space="preserve">fall within </w:t>
                            </w:r>
                            <w:r w:rsidR="00971F2C">
                              <w:rPr>
                                <w:rFonts w:cs="Arial"/>
                                <w:color w:val="1C1C1C"/>
                                <w:sz w:val="23"/>
                                <w:szCs w:val="23"/>
                              </w:rPr>
                              <w:t>the South East</w:t>
                            </w:r>
                            <w:r w:rsidR="005B19A2">
                              <w:rPr>
                                <w:rFonts w:cs="Arial"/>
                                <w:color w:val="1C1C1C"/>
                                <w:sz w:val="23"/>
                                <w:szCs w:val="23"/>
                              </w:rPr>
                              <w:t xml:space="preserve"> region</w:t>
                            </w:r>
                            <w:r w:rsidR="00971F2C">
                              <w:rPr>
                                <w:rFonts w:cs="Arial"/>
                                <w:color w:val="1C1C1C"/>
                                <w:sz w:val="23"/>
                                <w:szCs w:val="23"/>
                              </w:rPr>
                              <w:t xml:space="preserve">, recognising that some of the </w:t>
                            </w:r>
                            <w:r w:rsidR="005B19A2">
                              <w:rPr>
                                <w:rFonts w:cs="Arial"/>
                                <w:color w:val="1C1C1C"/>
                                <w:sz w:val="23"/>
                                <w:szCs w:val="23"/>
                              </w:rPr>
                              <w:t xml:space="preserve">NHS </w:t>
                            </w:r>
                            <w:r w:rsidR="00971F2C">
                              <w:rPr>
                                <w:rFonts w:cs="Arial"/>
                                <w:color w:val="1C1C1C"/>
                                <w:sz w:val="23"/>
                                <w:szCs w:val="23"/>
                              </w:rPr>
                              <w:t xml:space="preserve">Trusts </w:t>
                            </w:r>
                            <w:r w:rsidR="005B19A2">
                              <w:rPr>
                                <w:rFonts w:cs="Arial"/>
                                <w:color w:val="1C1C1C"/>
                                <w:sz w:val="23"/>
                                <w:szCs w:val="23"/>
                              </w:rPr>
                              <w:t xml:space="preserve">which </w:t>
                            </w:r>
                            <w:r w:rsidR="00971F2C">
                              <w:rPr>
                                <w:rFonts w:cs="Arial"/>
                                <w:color w:val="1C1C1C"/>
                                <w:sz w:val="23"/>
                                <w:szCs w:val="23"/>
                              </w:rPr>
                              <w:t xml:space="preserve">Networks support </w:t>
                            </w:r>
                            <w:r w:rsidR="00ED2255">
                              <w:rPr>
                                <w:rFonts w:cs="Arial"/>
                                <w:color w:val="1C1C1C"/>
                                <w:sz w:val="23"/>
                                <w:szCs w:val="23"/>
                              </w:rPr>
                              <w:t>are</w:t>
                            </w:r>
                            <w:r w:rsidR="005B19A2">
                              <w:rPr>
                                <w:rFonts w:cs="Arial"/>
                                <w:color w:val="1C1C1C"/>
                                <w:sz w:val="23"/>
                                <w:szCs w:val="23"/>
                              </w:rPr>
                              <w:t xml:space="preserve"> </w:t>
                            </w:r>
                            <w:r w:rsidR="00971F2C">
                              <w:rPr>
                                <w:rFonts w:cs="Arial"/>
                                <w:color w:val="1C1C1C"/>
                                <w:sz w:val="23"/>
                                <w:szCs w:val="23"/>
                              </w:rPr>
                              <w:t>across broader geographical boundaries.</w:t>
                            </w:r>
                          </w:p>
                          <w:p w14:paraId="27D2F7D2" w14:textId="77777777" w:rsidR="0061221F" w:rsidRPr="00BF39A8" w:rsidRDefault="0061221F" w:rsidP="0036112F">
                            <w:pPr>
                              <w:rPr>
                                <w:rFonts w:cs="Arial"/>
                                <w:b/>
                                <w:bCs/>
                                <w:color w:val="0070C0"/>
                                <w:sz w:val="23"/>
                                <w:szCs w:val="23"/>
                                <w:highlight w:val="yellow"/>
                                <w:lang w:val="en-US"/>
                              </w:rPr>
                            </w:pPr>
                          </w:p>
                          <w:p w14:paraId="27DE1F74" w14:textId="1B6D07B4" w:rsidR="00C2185C" w:rsidRPr="00971F2C" w:rsidRDefault="00971F2C" w:rsidP="00971F2C">
                            <w:pPr>
                              <w:rPr>
                                <w:rFonts w:cs="Arial"/>
                                <w:color w:val="1C1C1C"/>
                                <w:sz w:val="23"/>
                                <w:szCs w:val="23"/>
                              </w:rPr>
                            </w:pPr>
                            <w:r w:rsidRPr="00971F2C">
                              <w:rPr>
                                <w:rFonts w:cs="Arial"/>
                                <w:color w:val="1C1C1C"/>
                                <w:sz w:val="23"/>
                                <w:szCs w:val="23"/>
                              </w:rPr>
                              <w:t xml:space="preserve">This funding will be managed directly with Pathology Network Workforce Leads </w:t>
                            </w:r>
                            <w:r w:rsidR="0067525E">
                              <w:rPr>
                                <w:rFonts w:cs="Arial"/>
                                <w:color w:val="1C1C1C"/>
                                <w:sz w:val="23"/>
                                <w:szCs w:val="23"/>
                              </w:rPr>
                              <w:t xml:space="preserve">in </w:t>
                            </w:r>
                            <w:r w:rsidRPr="00971F2C">
                              <w:rPr>
                                <w:rFonts w:cs="Arial"/>
                                <w:color w:val="1C1C1C"/>
                                <w:sz w:val="23"/>
                                <w:szCs w:val="23"/>
                              </w:rPr>
                              <w:t xml:space="preserve">conjunction with the </w:t>
                            </w:r>
                            <w:r w:rsidR="00291FC0">
                              <w:rPr>
                                <w:rFonts w:cs="Arial"/>
                                <w:color w:val="1C1C1C"/>
                                <w:sz w:val="23"/>
                                <w:szCs w:val="23"/>
                              </w:rPr>
                              <w:t xml:space="preserve">NHSE </w:t>
                            </w:r>
                            <w:r w:rsidRPr="00971F2C">
                              <w:rPr>
                                <w:rFonts w:cs="Arial"/>
                                <w:color w:val="1C1C1C"/>
                                <w:sz w:val="23"/>
                                <w:szCs w:val="23"/>
                              </w:rPr>
                              <w:t>South East Cancer and Diagnostic Programme</w:t>
                            </w:r>
                            <w:r w:rsidR="00E84FA2">
                              <w:rPr>
                                <w:rFonts w:cs="Arial"/>
                                <w:color w:val="1C1C1C"/>
                                <w:sz w:val="23"/>
                                <w:szCs w:val="23"/>
                              </w:rPr>
                              <w:t>, Workforce Training and Education Directorate</w:t>
                            </w:r>
                            <w:r w:rsidRPr="00971F2C">
                              <w:rPr>
                                <w:rFonts w:cs="Arial"/>
                                <w:color w:val="1C1C1C"/>
                                <w:sz w:val="23"/>
                                <w:szCs w:val="23"/>
                              </w:rPr>
                              <w:t>.</w:t>
                            </w:r>
                            <w:r w:rsidR="00C2185C" w:rsidRPr="00971F2C">
                              <w:rPr>
                                <w:rFonts w:cs="Arial"/>
                                <w:color w:val="1C1C1C"/>
                                <w:sz w:val="23"/>
                                <w:szCs w:val="23"/>
                              </w:rPr>
                              <w:t xml:space="preserve"> </w:t>
                            </w:r>
                          </w:p>
                          <w:p w14:paraId="3551B649" w14:textId="77777777" w:rsidR="001B2A57" w:rsidRPr="00BF39A8" w:rsidRDefault="001B2A57" w:rsidP="001B2A57">
                            <w:pPr>
                              <w:rPr>
                                <w:rFonts w:cs="Arial"/>
                                <w:color w:val="1C1C1C"/>
                                <w:sz w:val="23"/>
                                <w:szCs w:val="23"/>
                              </w:rPr>
                            </w:pPr>
                          </w:p>
                          <w:p w14:paraId="2BF6802A" w14:textId="4014D971" w:rsidR="000F74D4" w:rsidRPr="00BF39A8" w:rsidRDefault="000F74D4" w:rsidP="000F74D4">
                            <w:pPr>
                              <w:rPr>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w:t>
                            </w:r>
                            <w:r w:rsidR="00B57C0F">
                              <w:rPr>
                                <w:rFonts w:cs="Arial"/>
                                <w:color w:val="1C1C1C"/>
                                <w:sz w:val="23"/>
                                <w:szCs w:val="23"/>
                              </w:rPr>
                              <w:t>.</w:t>
                            </w: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0;margin-top:23.15pt;width:508.8pt;height:42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3A6B4142"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 xml:space="preserve">Pathology </w:t>
                      </w:r>
                      <w:r w:rsidR="00971F2C">
                        <w:rPr>
                          <w:sz w:val="24"/>
                          <w:szCs w:val="24"/>
                        </w:rPr>
                        <w:t>Practice Education</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2244AFB1"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 xml:space="preserve">Pathology </w:t>
                      </w:r>
                      <w:r w:rsidR="00971F2C">
                        <w:rPr>
                          <w:rFonts w:cs="Arial"/>
                          <w:sz w:val="23"/>
                          <w:szCs w:val="23"/>
                          <w:lang w:val="en-US"/>
                        </w:rPr>
                        <w:t>Practice Educat</w:t>
                      </w:r>
                      <w:r w:rsidR="00B57C0F">
                        <w:rPr>
                          <w:rFonts w:cs="Arial"/>
                          <w:sz w:val="23"/>
                          <w:szCs w:val="23"/>
                          <w:lang w:val="en-US"/>
                        </w:rPr>
                        <w:t>or</w:t>
                      </w:r>
                      <w:r w:rsidR="001B468B">
                        <w:rPr>
                          <w:rFonts w:cs="Arial"/>
                          <w:sz w:val="23"/>
                          <w:szCs w:val="23"/>
                          <w:lang w:val="en-US"/>
                        </w:rPr>
                        <w:t xml:space="preserve"> funding.</w:t>
                      </w:r>
                      <w:r w:rsidR="00FD7AFC" w:rsidRPr="00BF39A8">
                        <w:rPr>
                          <w:rFonts w:cs="Arial"/>
                          <w:sz w:val="23"/>
                          <w:szCs w:val="23"/>
                          <w:lang w:val="en-US"/>
                        </w:rPr>
                        <w:t xml:space="preserve"> </w:t>
                      </w:r>
                    </w:p>
                    <w:p w14:paraId="7D9D41C3" w14:textId="77777777" w:rsidR="0036112F" w:rsidRPr="00BF39A8" w:rsidRDefault="0036112F" w:rsidP="0036112F">
                      <w:pPr>
                        <w:rPr>
                          <w:rFonts w:cs="Arial"/>
                          <w:sz w:val="23"/>
                          <w:szCs w:val="23"/>
                        </w:rPr>
                      </w:pPr>
                    </w:p>
                    <w:p w14:paraId="0C73BFB0" w14:textId="72B25EA9"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971F2C">
                        <w:rPr>
                          <w:rFonts w:cs="Arial"/>
                          <w:color w:val="1C1C1C"/>
                          <w:sz w:val="23"/>
                          <w:szCs w:val="23"/>
                          <w:lang w:val="en-US"/>
                        </w:rPr>
                        <w:t xml:space="preserve">, providing </w:t>
                      </w:r>
                      <w:r w:rsidR="00971F2C" w:rsidRPr="00971F2C">
                        <w:rPr>
                          <w:rFonts w:cs="Arial"/>
                          <w:color w:val="1C1C1C"/>
                          <w:sz w:val="23"/>
                          <w:szCs w:val="23"/>
                          <w:lang w:val="en-US"/>
                        </w:rPr>
                        <w:t xml:space="preserve">support and clinical education to staff and learners to improve their professional practice alongside academic colleagues. </w:t>
                      </w:r>
                      <w:r w:rsidR="00677B8F">
                        <w:rPr>
                          <w:rFonts w:cs="Arial"/>
                          <w:color w:val="1C1C1C"/>
                          <w:sz w:val="23"/>
                          <w:szCs w:val="23"/>
                          <w:lang w:val="en-US"/>
                        </w:rPr>
                        <w:t>Feedback suggests that t</w:t>
                      </w:r>
                      <w:r w:rsidR="00971F2C">
                        <w:rPr>
                          <w:rFonts w:cs="Arial"/>
                          <w:color w:val="1C1C1C"/>
                          <w:sz w:val="23"/>
                          <w:szCs w:val="23"/>
                          <w:lang w:val="en-US"/>
                        </w:rPr>
                        <w:t xml:space="preserve">he Practice Educator </w:t>
                      </w:r>
                      <w:r w:rsidR="00971F2C" w:rsidRPr="00971F2C">
                        <w:rPr>
                          <w:rFonts w:cs="Arial"/>
                          <w:color w:val="1C1C1C"/>
                          <w:sz w:val="23"/>
                          <w:szCs w:val="23"/>
                          <w:lang w:val="en-US"/>
                        </w:rPr>
                        <w:t xml:space="preserve">role within the </w:t>
                      </w:r>
                      <w:r w:rsidR="00DE7062">
                        <w:rPr>
                          <w:rFonts w:cs="Arial"/>
                          <w:color w:val="1C1C1C"/>
                          <w:sz w:val="23"/>
                          <w:szCs w:val="23"/>
                          <w:lang w:val="en-US"/>
                        </w:rPr>
                        <w:t xml:space="preserve">Pathology Network </w:t>
                      </w:r>
                      <w:r w:rsidR="00D624D2">
                        <w:rPr>
                          <w:rFonts w:cs="Arial"/>
                          <w:color w:val="1C1C1C"/>
                          <w:sz w:val="23"/>
                          <w:szCs w:val="23"/>
                          <w:lang w:val="en-US"/>
                        </w:rPr>
                        <w:t xml:space="preserve">plays a </w:t>
                      </w:r>
                      <w:r w:rsidR="00971F2C">
                        <w:rPr>
                          <w:rFonts w:cs="Arial"/>
                          <w:color w:val="1C1C1C"/>
                          <w:sz w:val="23"/>
                          <w:szCs w:val="23"/>
                          <w:lang w:val="en-US"/>
                        </w:rPr>
                        <w:t xml:space="preserve">key </w:t>
                      </w:r>
                      <w:r w:rsidR="00D624D2">
                        <w:rPr>
                          <w:rFonts w:cs="Arial"/>
                          <w:color w:val="1C1C1C"/>
                          <w:sz w:val="23"/>
                          <w:szCs w:val="23"/>
                          <w:lang w:val="en-US"/>
                        </w:rPr>
                        <w:t xml:space="preserve">role in </w:t>
                      </w:r>
                      <w:r w:rsidR="00971F2C" w:rsidRPr="00971F2C">
                        <w:rPr>
                          <w:rFonts w:cs="Arial"/>
                          <w:color w:val="1C1C1C"/>
                          <w:sz w:val="23"/>
                          <w:szCs w:val="23"/>
                          <w:lang w:val="en-US"/>
                        </w:rPr>
                        <w:t>support</w:t>
                      </w:r>
                      <w:r w:rsidR="00971F2C">
                        <w:rPr>
                          <w:rFonts w:cs="Arial"/>
                          <w:color w:val="1C1C1C"/>
                          <w:sz w:val="23"/>
                          <w:szCs w:val="23"/>
                          <w:lang w:val="en-US"/>
                        </w:rPr>
                        <w:t>ing</w:t>
                      </w:r>
                      <w:r w:rsidR="00971F2C" w:rsidRPr="00971F2C">
                        <w:rPr>
                          <w:rFonts w:cs="Arial"/>
                          <w:color w:val="1C1C1C"/>
                          <w:sz w:val="23"/>
                          <w:szCs w:val="23"/>
                          <w:lang w:val="en-US"/>
                        </w:rPr>
                        <w:t xml:space="preserve"> </w:t>
                      </w:r>
                      <w:r w:rsidR="00D624D2">
                        <w:rPr>
                          <w:rFonts w:cs="Arial"/>
                          <w:color w:val="1C1C1C"/>
                          <w:sz w:val="23"/>
                          <w:szCs w:val="23"/>
                          <w:lang w:val="en-US"/>
                        </w:rPr>
                        <w:t>p</w:t>
                      </w:r>
                      <w:r w:rsidR="00971F2C" w:rsidRPr="00971F2C">
                        <w:rPr>
                          <w:rFonts w:cs="Arial"/>
                          <w:color w:val="1C1C1C"/>
                          <w:sz w:val="23"/>
                          <w:szCs w:val="23"/>
                          <w:lang w:val="en-US"/>
                        </w:rPr>
                        <w:t>athology workforce expansion.</w:t>
                      </w:r>
                      <w:r w:rsidR="00971F2C">
                        <w:rPr>
                          <w:rFonts w:cs="Arial"/>
                          <w:color w:val="1C1C1C"/>
                          <w:sz w:val="23"/>
                          <w:szCs w:val="23"/>
                          <w:lang w:val="en-US"/>
                        </w:rPr>
                        <w:t xml:space="preserve"> </w:t>
                      </w:r>
                      <w:r w:rsidRPr="00BF39A8">
                        <w:rPr>
                          <w:rFonts w:cs="Arial"/>
                          <w:sz w:val="23"/>
                          <w:szCs w:val="23"/>
                          <w:lang w:val="en-US"/>
                        </w:rPr>
                        <w:t>T</w:t>
                      </w:r>
                      <w:r w:rsidRPr="00BF39A8">
                        <w:rPr>
                          <w:rFonts w:cs="Arial"/>
                          <w:color w:val="1C1C1C"/>
                          <w:sz w:val="23"/>
                          <w:szCs w:val="23"/>
                          <w:lang w:val="en-US"/>
                        </w:rPr>
                        <w:t>o further support this, there will be an</w:t>
                      </w:r>
                      <w:r w:rsidR="00DE7062">
                        <w:rPr>
                          <w:rFonts w:cs="Arial"/>
                          <w:color w:val="1C1C1C"/>
                          <w:sz w:val="23"/>
                          <w:szCs w:val="23"/>
                          <w:lang w:val="en-US"/>
                        </w:rPr>
                        <w:t xml:space="preserve"> evaluation of </w:t>
                      </w:r>
                      <w:r w:rsidRPr="00BF39A8">
                        <w:rPr>
                          <w:rFonts w:cs="Arial"/>
                          <w:color w:val="1C1C1C"/>
                          <w:sz w:val="23"/>
                          <w:szCs w:val="23"/>
                          <w:lang w:val="en-US"/>
                        </w:rPr>
                        <w:t xml:space="preserve">investment </w:t>
                      </w:r>
                      <w:r w:rsidR="00DE7062">
                        <w:rPr>
                          <w:rFonts w:cs="Arial"/>
                          <w:color w:val="1C1C1C"/>
                          <w:sz w:val="23"/>
                          <w:szCs w:val="23"/>
                          <w:lang w:val="en-US"/>
                        </w:rPr>
                        <w:t>impact</w:t>
                      </w:r>
                      <w:r w:rsidRPr="00BF39A8">
                        <w:rPr>
                          <w:rFonts w:cs="Arial"/>
                          <w:color w:val="1C1C1C"/>
                          <w:sz w:val="23"/>
                          <w:szCs w:val="23"/>
                          <w:lang w:val="en-US"/>
                        </w:rPr>
                        <w:t xml:space="preserve"> within 2</w:t>
                      </w:r>
                      <w:r w:rsidR="004B341D" w:rsidRPr="00BF39A8">
                        <w:rPr>
                          <w:rFonts w:cs="Arial"/>
                          <w:color w:val="1C1C1C"/>
                          <w:sz w:val="23"/>
                          <w:szCs w:val="23"/>
                          <w:lang w:val="en-US"/>
                        </w:rPr>
                        <w:t>02</w:t>
                      </w:r>
                      <w:r w:rsidRPr="00BF39A8">
                        <w:rPr>
                          <w:rFonts w:cs="Arial"/>
                          <w:color w:val="1C1C1C"/>
                          <w:sz w:val="23"/>
                          <w:szCs w:val="23"/>
                          <w:lang w:val="en-US"/>
                        </w:rPr>
                        <w:t>4/25</w:t>
                      </w:r>
                      <w:r w:rsidR="004B341D" w:rsidRPr="00BF39A8">
                        <w:rPr>
                          <w:rFonts w:cs="Arial"/>
                          <w:color w:val="1C1C1C"/>
                          <w:sz w:val="23"/>
                          <w:szCs w:val="23"/>
                          <w:lang w:val="en-US"/>
                        </w:rPr>
                        <w:t xml:space="preserve"> and 2025/26</w:t>
                      </w:r>
                      <w:r w:rsidR="00FB454B" w:rsidRPr="00BF39A8">
                        <w:rPr>
                          <w:rFonts w:cs="Arial"/>
                          <w:color w:val="1C1C1C"/>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3B9AE45C" w14:textId="6C1AFF45" w:rsidR="00971F2C" w:rsidRDefault="00971F2C" w:rsidP="001B2A57">
                      <w:pPr>
                        <w:pStyle w:val="ListParagraph"/>
                        <w:numPr>
                          <w:ilvl w:val="0"/>
                          <w:numId w:val="15"/>
                        </w:numPr>
                        <w:rPr>
                          <w:rFonts w:cs="Arial"/>
                          <w:color w:val="1C1C1C"/>
                          <w:sz w:val="23"/>
                          <w:szCs w:val="23"/>
                        </w:rPr>
                      </w:pPr>
                      <w:r>
                        <w:rPr>
                          <w:rFonts w:cs="Arial"/>
                          <w:color w:val="1C1C1C"/>
                          <w:sz w:val="23"/>
                          <w:szCs w:val="23"/>
                        </w:rPr>
                        <w:t xml:space="preserve">Is to </w:t>
                      </w:r>
                      <w:r w:rsidR="00BC1D0D">
                        <w:rPr>
                          <w:rFonts w:cs="Arial"/>
                          <w:color w:val="1C1C1C"/>
                          <w:sz w:val="23"/>
                          <w:szCs w:val="23"/>
                        </w:rPr>
                        <w:t xml:space="preserve">fund </w:t>
                      </w:r>
                      <w:r>
                        <w:rPr>
                          <w:rFonts w:cs="Arial"/>
                          <w:color w:val="1C1C1C"/>
                          <w:sz w:val="23"/>
                          <w:szCs w:val="23"/>
                        </w:rPr>
                        <w:t>a Pathology Network Practice Educator</w:t>
                      </w:r>
                    </w:p>
                    <w:p w14:paraId="07AC234E" w14:textId="3E0F38CA" w:rsidR="00971F2C" w:rsidRDefault="00BC1D0D" w:rsidP="001B2A57">
                      <w:pPr>
                        <w:pStyle w:val="ListParagraph"/>
                        <w:numPr>
                          <w:ilvl w:val="0"/>
                          <w:numId w:val="15"/>
                        </w:numPr>
                        <w:rPr>
                          <w:rFonts w:cs="Arial"/>
                          <w:color w:val="1C1C1C"/>
                          <w:sz w:val="23"/>
                          <w:szCs w:val="23"/>
                        </w:rPr>
                      </w:pPr>
                      <w:r>
                        <w:rPr>
                          <w:rFonts w:cs="Arial"/>
                          <w:color w:val="1C1C1C"/>
                          <w:sz w:val="23"/>
                          <w:szCs w:val="23"/>
                        </w:rPr>
                        <w:t>Is b</w:t>
                      </w:r>
                      <w:r w:rsidR="00971F2C">
                        <w:rPr>
                          <w:rFonts w:cs="Arial"/>
                          <w:color w:val="1C1C1C"/>
                          <w:sz w:val="23"/>
                          <w:szCs w:val="23"/>
                        </w:rPr>
                        <w:t xml:space="preserve">ased on </w:t>
                      </w:r>
                      <w:r>
                        <w:rPr>
                          <w:rFonts w:cs="Arial"/>
                          <w:color w:val="1C1C1C"/>
                          <w:sz w:val="23"/>
                          <w:szCs w:val="23"/>
                        </w:rPr>
                        <w:t xml:space="preserve">the </w:t>
                      </w:r>
                      <w:r w:rsidR="00971F2C">
                        <w:rPr>
                          <w:rFonts w:cs="Arial"/>
                          <w:color w:val="1C1C1C"/>
                          <w:sz w:val="23"/>
                          <w:szCs w:val="23"/>
                        </w:rPr>
                        <w:t xml:space="preserve">23/24 funding model, </w:t>
                      </w:r>
                      <w:r w:rsidR="005B19A2">
                        <w:rPr>
                          <w:rFonts w:cs="Arial"/>
                          <w:color w:val="1C1C1C"/>
                          <w:sz w:val="23"/>
                          <w:szCs w:val="23"/>
                        </w:rPr>
                        <w:t xml:space="preserve">which </w:t>
                      </w:r>
                      <w:r w:rsidR="00971F2C">
                        <w:rPr>
                          <w:rFonts w:cs="Arial"/>
                          <w:color w:val="1C1C1C"/>
                          <w:sz w:val="23"/>
                          <w:szCs w:val="23"/>
                        </w:rPr>
                        <w:t>equates to £48,000 per Pathology Network</w:t>
                      </w:r>
                    </w:p>
                    <w:p w14:paraId="24220EFB" w14:textId="59F4EFCF"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w:t>
                      </w:r>
                      <w:r w:rsidR="00971F2C">
                        <w:rPr>
                          <w:rFonts w:cs="Arial"/>
                          <w:color w:val="1C1C1C"/>
                          <w:sz w:val="23"/>
                          <w:szCs w:val="23"/>
                        </w:rPr>
                        <w:t xml:space="preserve"> Pathology Networks who </w:t>
                      </w:r>
                      <w:r w:rsidR="005B19A2">
                        <w:rPr>
                          <w:rFonts w:cs="Arial"/>
                          <w:color w:val="1C1C1C"/>
                          <w:sz w:val="23"/>
                          <w:szCs w:val="23"/>
                        </w:rPr>
                        <w:t xml:space="preserve">fall within </w:t>
                      </w:r>
                      <w:r w:rsidR="00971F2C">
                        <w:rPr>
                          <w:rFonts w:cs="Arial"/>
                          <w:color w:val="1C1C1C"/>
                          <w:sz w:val="23"/>
                          <w:szCs w:val="23"/>
                        </w:rPr>
                        <w:t>the South East</w:t>
                      </w:r>
                      <w:r w:rsidR="005B19A2">
                        <w:rPr>
                          <w:rFonts w:cs="Arial"/>
                          <w:color w:val="1C1C1C"/>
                          <w:sz w:val="23"/>
                          <w:szCs w:val="23"/>
                        </w:rPr>
                        <w:t xml:space="preserve"> region</w:t>
                      </w:r>
                      <w:r w:rsidR="00971F2C">
                        <w:rPr>
                          <w:rFonts w:cs="Arial"/>
                          <w:color w:val="1C1C1C"/>
                          <w:sz w:val="23"/>
                          <w:szCs w:val="23"/>
                        </w:rPr>
                        <w:t xml:space="preserve">, recognising that some of the </w:t>
                      </w:r>
                      <w:r w:rsidR="005B19A2">
                        <w:rPr>
                          <w:rFonts w:cs="Arial"/>
                          <w:color w:val="1C1C1C"/>
                          <w:sz w:val="23"/>
                          <w:szCs w:val="23"/>
                        </w:rPr>
                        <w:t xml:space="preserve">NHS </w:t>
                      </w:r>
                      <w:r w:rsidR="00971F2C">
                        <w:rPr>
                          <w:rFonts w:cs="Arial"/>
                          <w:color w:val="1C1C1C"/>
                          <w:sz w:val="23"/>
                          <w:szCs w:val="23"/>
                        </w:rPr>
                        <w:t xml:space="preserve">Trusts </w:t>
                      </w:r>
                      <w:r w:rsidR="005B19A2">
                        <w:rPr>
                          <w:rFonts w:cs="Arial"/>
                          <w:color w:val="1C1C1C"/>
                          <w:sz w:val="23"/>
                          <w:szCs w:val="23"/>
                        </w:rPr>
                        <w:t xml:space="preserve">which </w:t>
                      </w:r>
                      <w:r w:rsidR="00971F2C">
                        <w:rPr>
                          <w:rFonts w:cs="Arial"/>
                          <w:color w:val="1C1C1C"/>
                          <w:sz w:val="23"/>
                          <w:szCs w:val="23"/>
                        </w:rPr>
                        <w:t xml:space="preserve">Networks support </w:t>
                      </w:r>
                      <w:r w:rsidR="00ED2255">
                        <w:rPr>
                          <w:rFonts w:cs="Arial"/>
                          <w:color w:val="1C1C1C"/>
                          <w:sz w:val="23"/>
                          <w:szCs w:val="23"/>
                        </w:rPr>
                        <w:t>are</w:t>
                      </w:r>
                      <w:r w:rsidR="005B19A2">
                        <w:rPr>
                          <w:rFonts w:cs="Arial"/>
                          <w:color w:val="1C1C1C"/>
                          <w:sz w:val="23"/>
                          <w:szCs w:val="23"/>
                        </w:rPr>
                        <w:t xml:space="preserve"> </w:t>
                      </w:r>
                      <w:r w:rsidR="00971F2C">
                        <w:rPr>
                          <w:rFonts w:cs="Arial"/>
                          <w:color w:val="1C1C1C"/>
                          <w:sz w:val="23"/>
                          <w:szCs w:val="23"/>
                        </w:rPr>
                        <w:t>across broader geographical boundaries.</w:t>
                      </w:r>
                    </w:p>
                    <w:p w14:paraId="27D2F7D2" w14:textId="77777777" w:rsidR="0061221F" w:rsidRPr="00BF39A8" w:rsidRDefault="0061221F" w:rsidP="0036112F">
                      <w:pPr>
                        <w:rPr>
                          <w:rFonts w:cs="Arial"/>
                          <w:b/>
                          <w:bCs/>
                          <w:color w:val="0070C0"/>
                          <w:sz w:val="23"/>
                          <w:szCs w:val="23"/>
                          <w:highlight w:val="yellow"/>
                          <w:lang w:val="en-US"/>
                        </w:rPr>
                      </w:pPr>
                    </w:p>
                    <w:p w14:paraId="27DE1F74" w14:textId="1B6D07B4" w:rsidR="00C2185C" w:rsidRPr="00971F2C" w:rsidRDefault="00971F2C" w:rsidP="00971F2C">
                      <w:pPr>
                        <w:rPr>
                          <w:rFonts w:cs="Arial"/>
                          <w:color w:val="1C1C1C"/>
                          <w:sz w:val="23"/>
                          <w:szCs w:val="23"/>
                        </w:rPr>
                      </w:pPr>
                      <w:r w:rsidRPr="00971F2C">
                        <w:rPr>
                          <w:rFonts w:cs="Arial"/>
                          <w:color w:val="1C1C1C"/>
                          <w:sz w:val="23"/>
                          <w:szCs w:val="23"/>
                        </w:rPr>
                        <w:t xml:space="preserve">This funding will be managed directly with Pathology Network Workforce Leads </w:t>
                      </w:r>
                      <w:r w:rsidR="0067525E">
                        <w:rPr>
                          <w:rFonts w:cs="Arial"/>
                          <w:color w:val="1C1C1C"/>
                          <w:sz w:val="23"/>
                          <w:szCs w:val="23"/>
                        </w:rPr>
                        <w:t xml:space="preserve">in </w:t>
                      </w:r>
                      <w:r w:rsidRPr="00971F2C">
                        <w:rPr>
                          <w:rFonts w:cs="Arial"/>
                          <w:color w:val="1C1C1C"/>
                          <w:sz w:val="23"/>
                          <w:szCs w:val="23"/>
                        </w:rPr>
                        <w:t xml:space="preserve">conjunction with the </w:t>
                      </w:r>
                      <w:r w:rsidR="00291FC0">
                        <w:rPr>
                          <w:rFonts w:cs="Arial"/>
                          <w:color w:val="1C1C1C"/>
                          <w:sz w:val="23"/>
                          <w:szCs w:val="23"/>
                        </w:rPr>
                        <w:t xml:space="preserve">NHSE </w:t>
                      </w:r>
                      <w:r w:rsidRPr="00971F2C">
                        <w:rPr>
                          <w:rFonts w:cs="Arial"/>
                          <w:color w:val="1C1C1C"/>
                          <w:sz w:val="23"/>
                          <w:szCs w:val="23"/>
                        </w:rPr>
                        <w:t>South East Cancer and Diagnostic Programme</w:t>
                      </w:r>
                      <w:r w:rsidR="00E84FA2">
                        <w:rPr>
                          <w:rFonts w:cs="Arial"/>
                          <w:color w:val="1C1C1C"/>
                          <w:sz w:val="23"/>
                          <w:szCs w:val="23"/>
                        </w:rPr>
                        <w:t>, Workforce Training and Education Directorate</w:t>
                      </w:r>
                      <w:r w:rsidRPr="00971F2C">
                        <w:rPr>
                          <w:rFonts w:cs="Arial"/>
                          <w:color w:val="1C1C1C"/>
                          <w:sz w:val="23"/>
                          <w:szCs w:val="23"/>
                        </w:rPr>
                        <w:t>.</w:t>
                      </w:r>
                      <w:r w:rsidR="00C2185C" w:rsidRPr="00971F2C">
                        <w:rPr>
                          <w:rFonts w:cs="Arial"/>
                          <w:color w:val="1C1C1C"/>
                          <w:sz w:val="23"/>
                          <w:szCs w:val="23"/>
                        </w:rPr>
                        <w:t xml:space="preserve"> </w:t>
                      </w:r>
                    </w:p>
                    <w:p w14:paraId="3551B649" w14:textId="77777777" w:rsidR="001B2A57" w:rsidRPr="00BF39A8" w:rsidRDefault="001B2A57" w:rsidP="001B2A57">
                      <w:pPr>
                        <w:rPr>
                          <w:rFonts w:cs="Arial"/>
                          <w:color w:val="1C1C1C"/>
                          <w:sz w:val="23"/>
                          <w:szCs w:val="23"/>
                        </w:rPr>
                      </w:pPr>
                    </w:p>
                    <w:p w14:paraId="2BF6802A" w14:textId="4014D971" w:rsidR="000F74D4" w:rsidRPr="00BF39A8" w:rsidRDefault="000F74D4" w:rsidP="000F74D4">
                      <w:pPr>
                        <w:rPr>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w:t>
                      </w:r>
                      <w:r w:rsidR="00B57C0F">
                        <w:rPr>
                          <w:rFonts w:cs="Arial"/>
                          <w:color w:val="1C1C1C"/>
                          <w:sz w:val="23"/>
                          <w:szCs w:val="23"/>
                        </w:rPr>
                        <w:t>.</w:t>
                      </w: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v:textbox>
                <w10:wrap type="square" anchorx="margin"/>
              </v:shape>
            </w:pict>
          </mc:Fallback>
        </mc:AlternateContent>
      </w:r>
    </w:p>
    <w:p w14:paraId="6088127E" w14:textId="77777777" w:rsidR="00971F2C" w:rsidRDefault="00971F2C" w:rsidP="00401083">
      <w:pPr>
        <w:jc w:val="both"/>
        <w:rPr>
          <w:b/>
          <w:bCs/>
          <w:color w:val="00A9CE"/>
          <w:sz w:val="36"/>
          <w:szCs w:val="36"/>
        </w:rPr>
      </w:pPr>
    </w:p>
    <w:p w14:paraId="5A735F5C" w14:textId="77777777" w:rsidR="00971F2C" w:rsidRDefault="00971F2C" w:rsidP="00401083">
      <w:pPr>
        <w:jc w:val="both"/>
        <w:rPr>
          <w:b/>
          <w:bCs/>
          <w:color w:val="00A9CE"/>
          <w:sz w:val="36"/>
          <w:szCs w:val="36"/>
        </w:rPr>
      </w:pPr>
    </w:p>
    <w:p w14:paraId="7CF34FE2" w14:textId="77777777" w:rsidR="00971F2C" w:rsidRDefault="00971F2C" w:rsidP="00401083">
      <w:pPr>
        <w:jc w:val="both"/>
        <w:rPr>
          <w:b/>
          <w:bCs/>
          <w:color w:val="00A9CE"/>
          <w:sz w:val="36"/>
          <w:szCs w:val="36"/>
        </w:rPr>
      </w:pPr>
    </w:p>
    <w:p w14:paraId="1F189BF2" w14:textId="77777777" w:rsidR="00971F2C" w:rsidRDefault="00971F2C" w:rsidP="00401083">
      <w:pPr>
        <w:jc w:val="both"/>
        <w:rPr>
          <w:b/>
          <w:bCs/>
          <w:color w:val="00A9CE"/>
          <w:sz w:val="36"/>
          <w:szCs w:val="36"/>
        </w:rPr>
      </w:pPr>
    </w:p>
    <w:p w14:paraId="7BDFCA05" w14:textId="77777777" w:rsidR="00971F2C" w:rsidRDefault="00971F2C" w:rsidP="00401083">
      <w:pPr>
        <w:jc w:val="both"/>
        <w:rPr>
          <w:b/>
          <w:bCs/>
          <w:color w:val="00A9CE"/>
          <w:sz w:val="36"/>
          <w:szCs w:val="36"/>
        </w:rPr>
      </w:pPr>
    </w:p>
    <w:p w14:paraId="12D6CA45" w14:textId="62AA4A5E" w:rsidR="00401083" w:rsidRPr="00DA190E" w:rsidRDefault="00971F2C" w:rsidP="004C5E8E">
      <w:pPr>
        <w:pStyle w:val="Heading2"/>
        <w:rPr>
          <w:rFonts w:cs="Arial"/>
          <w:sz w:val="32"/>
          <w:szCs w:val="32"/>
        </w:rPr>
      </w:pPr>
      <w:r w:rsidRPr="00DA190E">
        <w:t>Summary</w:t>
      </w:r>
    </w:p>
    <w:p w14:paraId="4C2BE8BF" w14:textId="2C2DA159" w:rsidR="009835E3" w:rsidRPr="009835E3" w:rsidRDefault="009835E3" w:rsidP="009835E3">
      <w:pPr>
        <w:spacing w:after="24" w:line="276" w:lineRule="auto"/>
        <w:rPr>
          <w:rFonts w:cs="Arial"/>
          <w:color w:val="1C1C1C"/>
          <w:lang w:val="en-US"/>
        </w:rPr>
      </w:pPr>
      <w:r w:rsidRPr="009835E3">
        <w:rPr>
          <w:rFonts w:cs="Arial"/>
          <w:color w:val="1C1C1C"/>
          <w:lang w:val="en-US"/>
        </w:rPr>
        <w:t>High quality and sustainable practice education provision is required to support the growth in the numbers of learners within the NHS as well as promote and improve key issues such as retention, career development and job satisfaction. The</w:t>
      </w:r>
      <w:r w:rsidRPr="009835E3">
        <w:rPr>
          <w:rFonts w:cs="Arial"/>
          <w:lang w:val="en-US"/>
        </w:rPr>
        <w:t xml:space="preserve"> </w:t>
      </w:r>
      <w:hyperlink r:id="rId13" w:history="1">
        <w:r w:rsidRPr="009835E3">
          <w:rPr>
            <w:rStyle w:val="Hyperlink"/>
            <w:rFonts w:cs="Arial"/>
            <w:lang w:val="en-US"/>
          </w:rPr>
          <w:t>NHSE Educator Workforce Strategy</w:t>
        </w:r>
      </w:hyperlink>
      <w:r w:rsidRPr="009835E3">
        <w:rPr>
          <w:rFonts w:cs="Arial"/>
          <w:lang w:val="en-US"/>
        </w:rPr>
        <w:t xml:space="preserve"> </w:t>
      </w:r>
      <w:r w:rsidRPr="009835E3">
        <w:rPr>
          <w:rFonts w:cs="Arial"/>
          <w:color w:val="1C1C1C"/>
          <w:lang w:val="en-US"/>
        </w:rPr>
        <w:t xml:space="preserve">[published March 2023] highlights the role of education and training in alleviating workforce shortages; specifically, its importance in securing a future workforce, retaining the current workforce, and maximising </w:t>
      </w:r>
      <w:r w:rsidR="00D8548C" w:rsidRPr="009835E3">
        <w:rPr>
          <w:rFonts w:cs="Arial"/>
          <w:color w:val="1C1C1C"/>
          <w:lang w:val="en-US"/>
        </w:rPr>
        <w:t xml:space="preserve">workforce </w:t>
      </w:r>
      <w:r w:rsidRPr="009835E3">
        <w:rPr>
          <w:rFonts w:cs="Arial"/>
          <w:color w:val="1C1C1C"/>
          <w:lang w:val="en-US"/>
        </w:rPr>
        <w:t xml:space="preserve">productivity by optimising capacity and </w:t>
      </w:r>
      <w:r w:rsidR="00DE7062">
        <w:rPr>
          <w:rFonts w:cs="Arial"/>
          <w:color w:val="1C1C1C"/>
          <w:lang w:val="en-US"/>
        </w:rPr>
        <w:t>capability</w:t>
      </w:r>
      <w:r w:rsidRPr="009835E3">
        <w:rPr>
          <w:rFonts w:cs="Arial"/>
          <w:color w:val="1C1C1C"/>
          <w:lang w:val="en-US"/>
        </w:rPr>
        <w:t xml:space="preserve">. Investing in high quality practice educators is a key enabler. </w:t>
      </w:r>
    </w:p>
    <w:p w14:paraId="2C2A8669" w14:textId="77777777" w:rsidR="009A56AC" w:rsidRPr="009A56AC" w:rsidRDefault="009A56AC" w:rsidP="009A56AC">
      <w:pPr>
        <w:rPr>
          <w:rFonts w:eastAsia="Calibri" w:cs="Arial"/>
          <w:b/>
          <w:bCs/>
          <w:color w:val="0070C0"/>
          <w:kern w:val="2"/>
          <w:lang w:eastAsia="en-GB"/>
        </w:rPr>
      </w:pPr>
    </w:p>
    <w:p w14:paraId="14BD9FB2" w14:textId="50EB6D04" w:rsidR="009A56AC" w:rsidRPr="00DA190E" w:rsidRDefault="009A56AC" w:rsidP="00A56F3B">
      <w:pPr>
        <w:pStyle w:val="Heading2"/>
        <w:rPr>
          <w:rFonts w:ascii="Times New Roman" w:eastAsia="Times New Roman" w:hAnsi="Times New Roman" w:cs="Times New Roman"/>
          <w:lang w:eastAsia="en-GB"/>
        </w:rPr>
      </w:pPr>
      <w:r w:rsidRPr="00DA190E">
        <w:rPr>
          <w:lang w:eastAsia="en-GB"/>
        </w:rPr>
        <w:t xml:space="preserve">Aim of the </w:t>
      </w:r>
      <w:r w:rsidR="009835E3" w:rsidRPr="00DA190E">
        <w:rPr>
          <w:lang w:eastAsia="en-GB"/>
        </w:rPr>
        <w:t>funding</w:t>
      </w:r>
    </w:p>
    <w:p w14:paraId="49A41A26" w14:textId="2AF2B89F" w:rsidR="009A56AC" w:rsidRPr="00DA190E" w:rsidRDefault="009A56AC" w:rsidP="00DA190E">
      <w:pPr>
        <w:pStyle w:val="ListParagraph"/>
        <w:numPr>
          <w:ilvl w:val="0"/>
          <w:numId w:val="25"/>
        </w:numPr>
        <w:rPr>
          <w:rFonts w:ascii="Times New Roman" w:eastAsia="Times New Roman" w:hAnsi="Times New Roman" w:cs="Times New Roman"/>
          <w:lang w:eastAsia="en-GB"/>
        </w:rPr>
      </w:pPr>
      <w:r w:rsidRPr="00DA190E">
        <w:rPr>
          <w:rFonts w:eastAsia="Arial"/>
          <w:color w:val="000000"/>
          <w:lang w:eastAsia="en-GB"/>
        </w:rPr>
        <w:t>To provide support and clinical education to staff and student learners to improve their professional practice alongside academic colleagues.</w:t>
      </w:r>
      <w:r w:rsidR="00DA190E" w:rsidRPr="00DA190E">
        <w:t xml:space="preserve"> </w:t>
      </w:r>
      <w:r w:rsidR="00DA190E" w:rsidRPr="00DA190E">
        <w:rPr>
          <w:rFonts w:eastAsia="Arial"/>
          <w:color w:val="000000"/>
          <w:lang w:eastAsia="en-GB"/>
        </w:rPr>
        <w:t xml:space="preserve">Feedback suggests that the Practice Educator role within the Pathology Network plays a key role in supporting pathology workforce expansion. </w:t>
      </w:r>
      <w:r w:rsidRPr="00DA190E">
        <w:rPr>
          <w:rFonts w:eastAsia="Arial"/>
          <w:color w:val="000000"/>
          <w:lang w:eastAsia="en-GB"/>
        </w:rPr>
        <w:t xml:space="preserve"> </w:t>
      </w:r>
    </w:p>
    <w:p w14:paraId="4D2BA6A3" w14:textId="17386096" w:rsidR="009A56AC" w:rsidRPr="00DA190E" w:rsidRDefault="009A56AC" w:rsidP="00DA190E">
      <w:pPr>
        <w:pStyle w:val="ListParagraph"/>
        <w:numPr>
          <w:ilvl w:val="0"/>
          <w:numId w:val="25"/>
        </w:numPr>
        <w:rPr>
          <w:rFonts w:ascii="Times New Roman" w:eastAsia="Times New Roman" w:hAnsi="Times New Roman" w:cs="Times New Roman"/>
          <w:lang w:eastAsia="en-GB"/>
        </w:rPr>
      </w:pPr>
      <w:r w:rsidRPr="00DA190E">
        <w:rPr>
          <w:rFonts w:eastAsia="Arial"/>
          <w:color w:val="000000"/>
          <w:lang w:eastAsia="en-GB"/>
        </w:rPr>
        <w:t>The work and outputs of the Practice Educator role are expected to specifically support the development of healthcare scientists working across the Pathology Networks and support the implement</w:t>
      </w:r>
      <w:r w:rsidR="008C6BE3" w:rsidRPr="00DA190E">
        <w:rPr>
          <w:rFonts w:eastAsia="Arial"/>
          <w:color w:val="000000"/>
          <w:lang w:eastAsia="en-GB"/>
        </w:rPr>
        <w:t>ation</w:t>
      </w:r>
      <w:r w:rsidRPr="00DA190E">
        <w:rPr>
          <w:rFonts w:eastAsia="Arial"/>
          <w:color w:val="000000"/>
          <w:lang w:eastAsia="en-GB"/>
        </w:rPr>
        <w:t xml:space="preserve"> of Pathology Network workforce strategies.</w:t>
      </w:r>
    </w:p>
    <w:p w14:paraId="378BFD45" w14:textId="406C2210" w:rsidR="009A56AC" w:rsidRPr="00DA190E" w:rsidRDefault="009A56AC" w:rsidP="00DA190E">
      <w:pPr>
        <w:ind w:firstLine="70"/>
        <w:rPr>
          <w:rFonts w:ascii="Times New Roman" w:eastAsia="Times New Roman" w:hAnsi="Times New Roman" w:cs="Times New Roman"/>
          <w:lang w:eastAsia="en-GB"/>
        </w:rPr>
      </w:pPr>
    </w:p>
    <w:p w14:paraId="10801543" w14:textId="3CA17C16" w:rsidR="009A56AC" w:rsidRPr="00DA190E" w:rsidRDefault="009A56AC" w:rsidP="00A56F3B">
      <w:pPr>
        <w:pStyle w:val="Heading2"/>
        <w:rPr>
          <w:rFonts w:ascii="Times New Roman" w:eastAsia="Times New Roman" w:hAnsi="Times New Roman" w:cs="Times New Roman"/>
          <w:lang w:eastAsia="en-GB"/>
        </w:rPr>
      </w:pPr>
      <w:r w:rsidRPr="00DA190E">
        <w:rPr>
          <w:lang w:eastAsia="en-GB"/>
        </w:rPr>
        <w:t xml:space="preserve">Areas of focus </w:t>
      </w:r>
      <w:r w:rsidR="00E84FA2" w:rsidRPr="00DA190E">
        <w:rPr>
          <w:lang w:eastAsia="en-GB"/>
        </w:rPr>
        <w:t xml:space="preserve">for Practice Educators may </w:t>
      </w:r>
      <w:r w:rsidRPr="00DA190E">
        <w:rPr>
          <w:lang w:eastAsia="en-GB"/>
        </w:rPr>
        <w:t>include:</w:t>
      </w:r>
    </w:p>
    <w:p w14:paraId="1CBC72F9" w14:textId="239BCD70" w:rsidR="009A56AC" w:rsidRPr="00DA190E" w:rsidRDefault="009A56AC" w:rsidP="00DA190E">
      <w:pPr>
        <w:pStyle w:val="ListParagraph"/>
        <w:numPr>
          <w:ilvl w:val="0"/>
          <w:numId w:val="26"/>
        </w:numPr>
        <w:rPr>
          <w:rFonts w:ascii="Times New Roman" w:eastAsia="Times New Roman" w:hAnsi="Times New Roman" w:cs="Times New Roman"/>
          <w:lang w:eastAsia="en-GB"/>
        </w:rPr>
      </w:pPr>
      <w:r w:rsidRPr="00DA190E">
        <w:rPr>
          <w:rFonts w:eastAsia="Arial"/>
          <w:color w:val="000000"/>
          <w:lang w:eastAsia="en-GB"/>
        </w:rPr>
        <w:t>Develop</w:t>
      </w:r>
      <w:r w:rsidR="00DA190E">
        <w:rPr>
          <w:rFonts w:eastAsia="Arial"/>
          <w:color w:val="000000"/>
          <w:lang w:eastAsia="en-GB"/>
        </w:rPr>
        <w:t>ing</w:t>
      </w:r>
      <w:r w:rsidRPr="00DA190E">
        <w:rPr>
          <w:rFonts w:eastAsia="Arial"/>
          <w:color w:val="000000"/>
          <w:lang w:eastAsia="en-GB"/>
        </w:rPr>
        <w:t xml:space="preserve"> work-based learning to support the workforce and learners’ needs</w:t>
      </w:r>
    </w:p>
    <w:p w14:paraId="049386D0" w14:textId="740A7A32" w:rsidR="009A56AC" w:rsidRPr="00DA190E" w:rsidRDefault="009A56AC" w:rsidP="00DA190E">
      <w:pPr>
        <w:pStyle w:val="ListParagraph"/>
        <w:numPr>
          <w:ilvl w:val="0"/>
          <w:numId w:val="26"/>
        </w:numPr>
        <w:rPr>
          <w:rFonts w:ascii="Times New Roman" w:eastAsia="Times New Roman" w:hAnsi="Times New Roman" w:cs="Times New Roman"/>
          <w:lang w:eastAsia="en-GB"/>
        </w:rPr>
      </w:pPr>
      <w:r w:rsidRPr="00DA190E">
        <w:rPr>
          <w:rFonts w:eastAsia="Arial"/>
          <w:color w:val="000000"/>
          <w:lang w:eastAsia="en-GB"/>
        </w:rPr>
        <w:t>Work</w:t>
      </w:r>
      <w:r w:rsidR="00DA190E">
        <w:rPr>
          <w:rFonts w:eastAsia="Arial"/>
          <w:color w:val="000000"/>
          <w:lang w:eastAsia="en-GB"/>
        </w:rPr>
        <w:t>ing</w:t>
      </w:r>
      <w:r w:rsidRPr="00DA190E">
        <w:rPr>
          <w:rFonts w:eastAsia="Arial"/>
          <w:color w:val="000000"/>
          <w:lang w:eastAsia="en-GB"/>
        </w:rPr>
        <w:t xml:space="preserve"> closely with Microbiology Leads to accelerate delivery of staff in achieving HCPC registration</w:t>
      </w:r>
    </w:p>
    <w:p w14:paraId="2AA79090" w14:textId="24B68A18" w:rsidR="009A56AC" w:rsidRPr="00DA190E" w:rsidRDefault="009A56AC" w:rsidP="00DA190E">
      <w:pPr>
        <w:pStyle w:val="ListParagraph"/>
        <w:numPr>
          <w:ilvl w:val="0"/>
          <w:numId w:val="26"/>
        </w:numPr>
        <w:rPr>
          <w:rFonts w:ascii="Times New Roman" w:eastAsia="Times New Roman" w:hAnsi="Times New Roman" w:cs="Times New Roman"/>
          <w:lang w:eastAsia="en-GB"/>
        </w:rPr>
      </w:pPr>
      <w:r w:rsidRPr="00DA190E">
        <w:rPr>
          <w:rFonts w:eastAsia="Arial"/>
          <w:color w:val="000000"/>
          <w:lang w:eastAsia="en-GB"/>
        </w:rPr>
        <w:t>Work</w:t>
      </w:r>
      <w:r w:rsidR="00DA190E">
        <w:rPr>
          <w:rFonts w:eastAsia="Arial"/>
          <w:color w:val="000000"/>
          <w:lang w:eastAsia="en-GB"/>
        </w:rPr>
        <w:t>ing</w:t>
      </w:r>
      <w:r w:rsidRPr="00DA190E">
        <w:rPr>
          <w:rFonts w:eastAsia="Arial"/>
          <w:color w:val="000000"/>
          <w:lang w:eastAsia="en-GB"/>
        </w:rPr>
        <w:t xml:space="preserve"> closely with Apprenticeship Leads to ensure continued provision of the apprentice pathways</w:t>
      </w:r>
    </w:p>
    <w:p w14:paraId="7961A439" w14:textId="69929936" w:rsidR="009A56AC" w:rsidRPr="00DA190E" w:rsidRDefault="008D0099" w:rsidP="00DA190E">
      <w:pPr>
        <w:pStyle w:val="ListParagraph"/>
        <w:numPr>
          <w:ilvl w:val="0"/>
          <w:numId w:val="26"/>
        </w:numPr>
        <w:rPr>
          <w:rFonts w:ascii="Times New Roman" w:eastAsia="Times New Roman" w:hAnsi="Times New Roman" w:cs="Times New Roman"/>
          <w:lang w:eastAsia="en-GB"/>
        </w:rPr>
      </w:pPr>
      <w:r w:rsidRPr="00DA190E">
        <w:rPr>
          <w:rFonts w:eastAsia="Arial"/>
          <w:color w:val="000000"/>
          <w:lang w:eastAsia="en-GB"/>
        </w:rPr>
        <w:t>Providing e</w:t>
      </w:r>
      <w:r w:rsidR="009A56AC" w:rsidRPr="00DA190E">
        <w:rPr>
          <w:rFonts w:eastAsia="Arial"/>
          <w:color w:val="000000"/>
          <w:lang w:eastAsia="en-GB"/>
        </w:rPr>
        <w:t>xpert knowledge of the requirements of a Pathology workforce</w:t>
      </w:r>
    </w:p>
    <w:p w14:paraId="31E61C96" w14:textId="5EA05B7C" w:rsidR="009A56AC" w:rsidRPr="00DA190E" w:rsidRDefault="009A56AC" w:rsidP="00DA190E">
      <w:pPr>
        <w:pStyle w:val="ListParagraph"/>
        <w:numPr>
          <w:ilvl w:val="0"/>
          <w:numId w:val="26"/>
        </w:numPr>
        <w:rPr>
          <w:rFonts w:ascii="Times New Roman" w:eastAsia="Times New Roman" w:hAnsi="Times New Roman" w:cs="Times New Roman"/>
          <w:lang w:eastAsia="en-GB"/>
        </w:rPr>
      </w:pPr>
      <w:r w:rsidRPr="00DA190E">
        <w:rPr>
          <w:rFonts w:eastAsia="Arial"/>
          <w:color w:val="000000"/>
          <w:lang w:eastAsia="en-GB"/>
        </w:rPr>
        <w:t>Develop</w:t>
      </w:r>
      <w:r w:rsidR="00DA190E">
        <w:rPr>
          <w:rFonts w:eastAsia="Arial"/>
          <w:color w:val="000000"/>
          <w:lang w:eastAsia="en-GB"/>
        </w:rPr>
        <w:t>ing</w:t>
      </w:r>
      <w:r w:rsidRPr="00DA190E">
        <w:rPr>
          <w:rFonts w:eastAsia="Arial"/>
          <w:color w:val="000000"/>
          <w:lang w:eastAsia="en-GB"/>
        </w:rPr>
        <w:t xml:space="preserve"> links both regionally and nationally to capitalise on best practice and economy of scale and influence policy</w:t>
      </w:r>
    </w:p>
    <w:p w14:paraId="63E38653" w14:textId="76B6BBE3" w:rsidR="009A56AC" w:rsidRPr="00DA190E" w:rsidRDefault="009A56AC" w:rsidP="00DA190E">
      <w:pPr>
        <w:rPr>
          <w:rFonts w:ascii="Times New Roman" w:eastAsia="Times New Roman" w:hAnsi="Times New Roman" w:cs="Times New Roman"/>
          <w:lang w:eastAsia="en-GB"/>
        </w:rPr>
      </w:pPr>
    </w:p>
    <w:p w14:paraId="2AA50435" w14:textId="090C02B3" w:rsidR="009A56AC" w:rsidRPr="00A56F3B" w:rsidRDefault="009A56AC" w:rsidP="00A56F3B">
      <w:pPr>
        <w:pStyle w:val="Heading2"/>
        <w:rPr>
          <w:rFonts w:ascii="Times New Roman" w:eastAsia="Times New Roman" w:hAnsi="Times New Roman" w:cs="Times New Roman"/>
          <w:lang w:eastAsia="en-GB"/>
        </w:rPr>
      </w:pPr>
      <w:r w:rsidRPr="00A56F3B">
        <w:rPr>
          <w:lang w:eastAsia="en-GB"/>
        </w:rPr>
        <w:t xml:space="preserve">Areas </w:t>
      </w:r>
      <w:r w:rsidR="00E84FA2" w:rsidRPr="00A56F3B">
        <w:rPr>
          <w:lang w:eastAsia="en-GB"/>
        </w:rPr>
        <w:t xml:space="preserve">Practice Educators may </w:t>
      </w:r>
      <w:r w:rsidRPr="00A56F3B">
        <w:rPr>
          <w:lang w:eastAsia="en-GB"/>
        </w:rPr>
        <w:t xml:space="preserve">support include: </w:t>
      </w:r>
    </w:p>
    <w:p w14:paraId="179F27DE" w14:textId="77777777" w:rsidR="009A56AC" w:rsidRPr="00DA190E" w:rsidRDefault="009A56AC" w:rsidP="00DA190E">
      <w:pPr>
        <w:pStyle w:val="ListParagraph"/>
        <w:numPr>
          <w:ilvl w:val="0"/>
          <w:numId w:val="27"/>
        </w:numPr>
        <w:rPr>
          <w:rFonts w:ascii="Times New Roman" w:eastAsia="Times New Roman" w:hAnsi="Times New Roman" w:cs="Times New Roman"/>
          <w:lang w:eastAsia="en-GB"/>
        </w:rPr>
      </w:pPr>
      <w:r w:rsidRPr="00DA190E">
        <w:rPr>
          <w:rFonts w:eastAsia="Arial"/>
          <w:color w:val="000000"/>
          <w:lang w:eastAsia="en-GB"/>
        </w:rPr>
        <w:t>On-going development of educational and training systems.</w:t>
      </w:r>
    </w:p>
    <w:p w14:paraId="4FC9357B" w14:textId="63B92D90" w:rsidR="009A56AC" w:rsidRPr="00DA190E" w:rsidRDefault="008D0099" w:rsidP="00DA190E">
      <w:pPr>
        <w:pStyle w:val="ListParagraph"/>
        <w:numPr>
          <w:ilvl w:val="0"/>
          <w:numId w:val="27"/>
        </w:numPr>
        <w:rPr>
          <w:rFonts w:ascii="Times New Roman" w:eastAsia="Times New Roman" w:hAnsi="Times New Roman" w:cs="Times New Roman"/>
          <w:lang w:eastAsia="en-GB"/>
        </w:rPr>
      </w:pPr>
      <w:r w:rsidRPr="00DA190E">
        <w:rPr>
          <w:rFonts w:eastAsia="Arial"/>
          <w:color w:val="000000"/>
          <w:lang w:eastAsia="en-GB"/>
        </w:rPr>
        <w:t xml:space="preserve">Further development of the pathology workforce </w:t>
      </w:r>
      <w:r w:rsidR="009A56AC" w:rsidRPr="00DA190E">
        <w:rPr>
          <w:rFonts w:eastAsia="Arial"/>
          <w:color w:val="000000"/>
          <w:lang w:eastAsia="en-GB"/>
        </w:rPr>
        <w:t xml:space="preserve">e.g. </w:t>
      </w:r>
      <w:proofErr w:type="gramStart"/>
      <w:r w:rsidR="009A56AC" w:rsidRPr="00DA190E">
        <w:rPr>
          <w:rFonts w:eastAsia="Arial"/>
          <w:color w:val="000000"/>
          <w:lang w:eastAsia="en-GB"/>
        </w:rPr>
        <w:t>masters</w:t>
      </w:r>
      <w:proofErr w:type="gramEnd"/>
      <w:r w:rsidR="009A56AC" w:rsidRPr="00DA190E">
        <w:rPr>
          <w:rFonts w:eastAsia="Arial"/>
          <w:color w:val="000000"/>
          <w:lang w:eastAsia="en-GB"/>
        </w:rPr>
        <w:t xml:space="preserve"> level leadership programmes, advanced clinical practice</w:t>
      </w:r>
    </w:p>
    <w:p w14:paraId="7515949C" w14:textId="77777777" w:rsidR="009A56AC" w:rsidRPr="00DA190E" w:rsidRDefault="009A56AC" w:rsidP="00DA190E">
      <w:pPr>
        <w:pStyle w:val="ListParagraph"/>
        <w:numPr>
          <w:ilvl w:val="0"/>
          <w:numId w:val="27"/>
        </w:numPr>
        <w:rPr>
          <w:rFonts w:ascii="Times New Roman" w:eastAsia="Times New Roman" w:hAnsi="Times New Roman" w:cs="Times New Roman"/>
          <w:lang w:eastAsia="en-GB"/>
        </w:rPr>
      </w:pPr>
      <w:r w:rsidRPr="00DA190E">
        <w:rPr>
          <w:rFonts w:eastAsia="Arial"/>
          <w:color w:val="000000"/>
          <w:lang w:eastAsia="en-GB"/>
        </w:rPr>
        <w:t>Data collection on apprenticeship numbers within pathology and the impact on recruitment and retention issues within the pathology workforce</w:t>
      </w:r>
    </w:p>
    <w:p w14:paraId="57F31836" w14:textId="2494E91E" w:rsidR="009A56AC" w:rsidRPr="00DA190E" w:rsidRDefault="009A56AC" w:rsidP="00DA190E">
      <w:pPr>
        <w:pStyle w:val="ListParagraph"/>
        <w:numPr>
          <w:ilvl w:val="0"/>
          <w:numId w:val="27"/>
        </w:numPr>
        <w:rPr>
          <w:rFonts w:ascii="Times New Roman" w:eastAsia="Times New Roman" w:hAnsi="Times New Roman" w:cs="Times New Roman"/>
          <w:lang w:eastAsia="en-GB"/>
        </w:rPr>
      </w:pPr>
      <w:r w:rsidRPr="00DA190E">
        <w:rPr>
          <w:rFonts w:eastAsia="Arial"/>
          <w:color w:val="000000"/>
          <w:lang w:eastAsia="en-GB"/>
        </w:rPr>
        <w:t xml:space="preserve">Implementation of mechanisms to enable timely career pathways for all staff e.g. appointment of apprentices, completion of </w:t>
      </w:r>
      <w:r w:rsidR="00C53258" w:rsidRPr="00DA190E">
        <w:rPr>
          <w:rFonts w:eastAsia="Arial"/>
          <w:color w:val="000000"/>
          <w:lang w:eastAsia="en-GB"/>
        </w:rPr>
        <w:t>Institute of Biomedical Science [</w:t>
      </w:r>
      <w:r w:rsidRPr="00DA190E">
        <w:rPr>
          <w:rFonts w:eastAsia="Arial"/>
          <w:color w:val="000000"/>
          <w:lang w:eastAsia="en-GB"/>
        </w:rPr>
        <w:t>IBMS</w:t>
      </w:r>
      <w:r w:rsidR="00C53258" w:rsidRPr="00DA190E">
        <w:rPr>
          <w:rFonts w:eastAsia="Arial"/>
          <w:color w:val="000000"/>
          <w:lang w:eastAsia="en-GB"/>
        </w:rPr>
        <w:t>]</w:t>
      </w:r>
      <w:r w:rsidRPr="00DA190E">
        <w:rPr>
          <w:rFonts w:eastAsia="Arial"/>
          <w:color w:val="000000"/>
          <w:lang w:eastAsia="en-GB"/>
        </w:rPr>
        <w:t xml:space="preserve"> portfolios and higher education pathways</w:t>
      </w:r>
    </w:p>
    <w:p w14:paraId="50F94E78" w14:textId="77777777" w:rsidR="009835E3" w:rsidRDefault="009835E3" w:rsidP="00401083">
      <w:pPr>
        <w:jc w:val="both"/>
        <w:rPr>
          <w:rFonts w:cs="Arial"/>
          <w:b/>
          <w:bCs/>
          <w:iCs/>
          <w:color w:val="003893"/>
          <w:sz w:val="28"/>
          <w:szCs w:val="28"/>
        </w:rPr>
      </w:pPr>
    </w:p>
    <w:p w14:paraId="56EFEE0F" w14:textId="77964BCA" w:rsidR="00011C65" w:rsidRDefault="00401083" w:rsidP="00A56F3B">
      <w:pPr>
        <w:pStyle w:val="Heading2"/>
      </w:pPr>
      <w:r w:rsidRPr="00B07B65">
        <w:t xml:space="preserve">The funding </w:t>
      </w:r>
      <w:proofErr w:type="gramStart"/>
      <w:r w:rsidRPr="00B07B65">
        <w:t>offer</w:t>
      </w:r>
      <w:proofErr w:type="gramEnd"/>
    </w:p>
    <w:p w14:paraId="569579C7" w14:textId="1D795847" w:rsidR="00011C65" w:rsidRPr="00B57C0F" w:rsidRDefault="00886689" w:rsidP="001A03A4">
      <w:pPr>
        <w:rPr>
          <w:rFonts w:cs="Arial"/>
          <w:lang w:val="en-US"/>
        </w:rPr>
      </w:pPr>
      <w:r w:rsidRPr="00B57C0F">
        <w:t xml:space="preserve">To help grow and transform the pathology workforce, </w:t>
      </w:r>
      <w:r w:rsidR="000F74D4" w:rsidRPr="00B57C0F">
        <w:t xml:space="preserve">this </w:t>
      </w:r>
      <w:r w:rsidRPr="00B57C0F">
        <w:t xml:space="preserve">NHS England </w:t>
      </w:r>
      <w:r w:rsidR="000F74D4" w:rsidRPr="00B57C0F">
        <w:t>funding offer</w:t>
      </w:r>
      <w:r w:rsidR="00ED2255" w:rsidRPr="00B57C0F">
        <w:t xml:space="preserve"> is for</w:t>
      </w:r>
      <w:r w:rsidR="000F74D4" w:rsidRPr="00B57C0F">
        <w:t xml:space="preserve"> </w:t>
      </w:r>
      <w:r w:rsidR="009A56AC" w:rsidRPr="00B57C0F">
        <w:t xml:space="preserve">£48,000 per Pathology Network to </w:t>
      </w:r>
      <w:r w:rsidR="00ED2255" w:rsidRPr="00B57C0F">
        <w:t xml:space="preserve">fund </w:t>
      </w:r>
      <w:r w:rsidR="009A56AC" w:rsidRPr="00B57C0F">
        <w:t xml:space="preserve">a Pathology Practice Educator. </w:t>
      </w:r>
    </w:p>
    <w:p w14:paraId="6AE2917F" w14:textId="77777777" w:rsidR="00011C65" w:rsidRPr="00B57C0F" w:rsidRDefault="00011C65" w:rsidP="001A03A4">
      <w:pPr>
        <w:rPr>
          <w:rFonts w:cs="Arial"/>
          <w:lang w:val="en-US"/>
        </w:rPr>
      </w:pPr>
    </w:p>
    <w:p w14:paraId="2BE2F9AB" w14:textId="6370C59A" w:rsidR="001A03A4" w:rsidRPr="00B57C0F" w:rsidRDefault="009A56AC" w:rsidP="001A03A4">
      <w:pPr>
        <w:rPr>
          <w:rFonts w:cs="Arial"/>
          <w:lang w:val="en-US"/>
        </w:rPr>
      </w:pPr>
      <w:r w:rsidRPr="00B57C0F">
        <w:rPr>
          <w:rFonts w:cs="Arial"/>
          <w:lang w:val="en-US"/>
        </w:rPr>
        <w:lastRenderedPageBreak/>
        <w:t xml:space="preserve">The </w:t>
      </w:r>
      <w:r w:rsidR="00897F5F" w:rsidRPr="00B57C0F">
        <w:rPr>
          <w:rFonts w:cs="Arial"/>
          <w:lang w:val="en-US"/>
        </w:rPr>
        <w:t xml:space="preserve">Cancer and Diagnostics </w:t>
      </w:r>
      <w:proofErr w:type="spellStart"/>
      <w:r w:rsidRPr="00B57C0F">
        <w:rPr>
          <w:rFonts w:cs="Arial"/>
          <w:lang w:val="en-US"/>
        </w:rPr>
        <w:t>programme</w:t>
      </w:r>
      <w:proofErr w:type="spellEnd"/>
      <w:r w:rsidRPr="00B57C0F">
        <w:rPr>
          <w:rFonts w:cs="Arial"/>
          <w:lang w:val="en-US"/>
        </w:rPr>
        <w:t xml:space="preserve"> team will work with Pathology Networks to progress and appropriately allocate this funding.</w:t>
      </w:r>
      <w:r w:rsidR="003F0A69" w:rsidRPr="00B57C0F">
        <w:t xml:space="preserve"> Payments will be made via the </w:t>
      </w:r>
      <w:r w:rsidR="003F0A69" w:rsidRPr="00B57C0F">
        <w:rPr>
          <w:rFonts w:cs="Arial"/>
          <w:lang w:val="en-US"/>
        </w:rPr>
        <w:t xml:space="preserve">NHSE Education Contract schedule to the </w:t>
      </w:r>
      <w:r w:rsidRPr="00B57C0F">
        <w:rPr>
          <w:rFonts w:cs="Arial"/>
          <w:lang w:val="en-US"/>
        </w:rPr>
        <w:t>identified host Trust on behalf of the Pathology Network</w:t>
      </w:r>
      <w:r w:rsidR="00410876" w:rsidRPr="00B57C0F">
        <w:rPr>
          <w:rFonts w:cs="Arial"/>
          <w:lang w:val="en-US"/>
        </w:rPr>
        <w:t xml:space="preserve"> and will not be made until </w:t>
      </w:r>
      <w:r w:rsidRPr="00B57C0F">
        <w:rPr>
          <w:rFonts w:cs="Arial"/>
          <w:lang w:val="en-US"/>
        </w:rPr>
        <w:t xml:space="preserve">a named Practice Educator has been confirmed. </w:t>
      </w:r>
    </w:p>
    <w:p w14:paraId="5EE419CD" w14:textId="77777777" w:rsidR="00011C65" w:rsidRPr="00B57C0F" w:rsidRDefault="00011C65" w:rsidP="000F74D4">
      <w:pPr>
        <w:rPr>
          <w:rFonts w:cs="Arial"/>
          <w:lang w:val="en-US"/>
        </w:rPr>
      </w:pPr>
    </w:p>
    <w:p w14:paraId="470513E4" w14:textId="3F954496" w:rsidR="0090474D" w:rsidRPr="00B57C0F" w:rsidRDefault="00011C65" w:rsidP="00011C65">
      <w:r w:rsidRPr="00B57C0F">
        <w:t xml:space="preserve">This offer </w:t>
      </w:r>
      <w:r w:rsidR="009A56AC" w:rsidRPr="00B57C0F">
        <w:t xml:space="preserve">will be made directly to the five Pathology Networks working across the South East, recognising that some of the </w:t>
      </w:r>
      <w:r w:rsidR="00ED2255" w:rsidRPr="00B57C0F">
        <w:t xml:space="preserve">NHS </w:t>
      </w:r>
      <w:r w:rsidR="009A56AC" w:rsidRPr="00B57C0F">
        <w:t>Trusts</w:t>
      </w:r>
      <w:r w:rsidR="00ED2255" w:rsidRPr="00B57C0F">
        <w:t xml:space="preserve"> which</w:t>
      </w:r>
      <w:r w:rsidR="009A56AC" w:rsidRPr="00B57C0F">
        <w:t xml:space="preserve"> Networks support </w:t>
      </w:r>
      <w:r w:rsidR="00ED2255" w:rsidRPr="00B57C0F">
        <w:t xml:space="preserve">are </w:t>
      </w:r>
      <w:r w:rsidR="009A56AC" w:rsidRPr="00B57C0F">
        <w:t xml:space="preserve">across broader geographical boundaries. </w:t>
      </w:r>
    </w:p>
    <w:p w14:paraId="5FA47794" w14:textId="77777777" w:rsidR="009835E3" w:rsidRDefault="009835E3" w:rsidP="00401083">
      <w:pPr>
        <w:jc w:val="both"/>
        <w:rPr>
          <w:rFonts w:cs="Arial"/>
          <w:b/>
          <w:bCs/>
          <w:iCs/>
          <w:color w:val="003893"/>
          <w:sz w:val="28"/>
          <w:szCs w:val="28"/>
        </w:rPr>
      </w:pPr>
    </w:p>
    <w:p w14:paraId="28FA1605" w14:textId="07443B52" w:rsidR="00FE4E56" w:rsidRPr="00B07B65" w:rsidRDefault="00401083" w:rsidP="004C5E8E">
      <w:pPr>
        <w:pStyle w:val="Heading2"/>
      </w:pPr>
      <w:r w:rsidRPr="00B07B65">
        <w:t>How to access this funding</w:t>
      </w:r>
    </w:p>
    <w:p w14:paraId="351BF105" w14:textId="0FF9794C" w:rsidR="00A13FC6" w:rsidRDefault="00D532A2" w:rsidP="00CD4544">
      <w:pPr>
        <w:spacing w:after="24" w:line="276" w:lineRule="auto"/>
        <w:rPr>
          <w:rFonts w:cs="Arial"/>
          <w:b/>
          <w:bCs/>
          <w:color w:val="1C1C1C"/>
          <w:lang w:val="en-US"/>
        </w:rPr>
      </w:pPr>
      <w:r w:rsidRPr="009A56AC">
        <w:rPr>
          <w:rFonts w:cs="Arial"/>
          <w:color w:val="1C1C1C"/>
          <w:lang w:val="en-US"/>
        </w:rPr>
        <w:t xml:space="preserve">As a reminder, </w:t>
      </w:r>
      <w:r w:rsidRPr="009A56AC">
        <w:rPr>
          <w:rFonts w:cs="Arial"/>
          <w:b/>
          <w:bCs/>
          <w:color w:val="1C1C1C"/>
          <w:lang w:val="en-US"/>
        </w:rPr>
        <w:t>funding is yet to be confirmed for 2024/25.</w:t>
      </w:r>
    </w:p>
    <w:p w14:paraId="5F28CB92" w14:textId="77777777" w:rsidR="008D5581" w:rsidRPr="009A56AC" w:rsidRDefault="008D5581" w:rsidP="00CD4544">
      <w:pPr>
        <w:spacing w:after="24" w:line="276" w:lineRule="auto"/>
        <w:rPr>
          <w:rFonts w:cs="Arial"/>
          <w:b/>
          <w:bCs/>
          <w:color w:val="1C1C1C"/>
          <w:lang w:val="en-US"/>
        </w:rPr>
      </w:pPr>
    </w:p>
    <w:p w14:paraId="062508C1" w14:textId="033E2E85" w:rsidR="009A56AC" w:rsidRPr="009A56AC" w:rsidRDefault="009A56AC" w:rsidP="009A56AC">
      <w:pPr>
        <w:rPr>
          <w:rFonts w:cs="Arial"/>
          <w:color w:val="1C1C1C"/>
        </w:rPr>
      </w:pPr>
      <w:r w:rsidRPr="009A56AC">
        <w:rPr>
          <w:rFonts w:cs="Arial"/>
          <w:color w:val="1C1C1C"/>
        </w:rPr>
        <w:t>This funding will be managed directly with Pathology Network Workforce Leads in conjunction with the South East Cancer and Diagnostic Programme</w:t>
      </w:r>
      <w:r>
        <w:rPr>
          <w:rFonts w:cs="Arial"/>
          <w:color w:val="1C1C1C"/>
        </w:rPr>
        <w:t xml:space="preserve"> and wider NHSE colleagues as appropriate</w:t>
      </w:r>
      <w:r w:rsidRPr="009A56AC">
        <w:rPr>
          <w:rFonts w:cs="Arial"/>
          <w:color w:val="1C1C1C"/>
        </w:rPr>
        <w:t xml:space="preserve">.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C5E8E">
      <w:pPr>
        <w:pStyle w:val="Heading2"/>
        <w:rPr>
          <w:lang w:val="en-US"/>
        </w:rPr>
      </w:pPr>
      <w:r w:rsidRPr="00B07B65">
        <w:rPr>
          <w:lang w:val="en-US"/>
        </w:rPr>
        <w:t xml:space="preserve">Expectations of organisations upon application of funding </w:t>
      </w: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C5E8E">
      <w:pPr>
        <w:pStyle w:val="Heading2"/>
      </w:pPr>
      <w:r w:rsidRPr="00B07B65">
        <w:t>Reporting and monitoring investment</w:t>
      </w:r>
    </w:p>
    <w:p w14:paraId="4821CF6F" w14:textId="78127AEA" w:rsidR="00401083" w:rsidRPr="00413D35" w:rsidRDefault="0098626C" w:rsidP="007F78C6">
      <w:pPr>
        <w:spacing w:after="24" w:line="276" w:lineRule="auto"/>
        <w:rPr>
          <w:rFonts w:cs="Arial"/>
          <w:color w:val="1C1C1C"/>
        </w:rPr>
      </w:pPr>
      <w:r w:rsidRPr="00413D35">
        <w:rPr>
          <w:rFonts w:cs="Arial"/>
          <w:color w:val="1C1C1C"/>
        </w:rPr>
        <w:t xml:space="preserve">NHSE </w:t>
      </w:r>
      <w:r w:rsidR="00A13FC6">
        <w:rPr>
          <w:rFonts w:cs="Arial"/>
          <w:color w:val="1C1C1C"/>
        </w:rPr>
        <w:t>South East</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w:t>
      </w:r>
      <w:r w:rsidR="00A50507">
        <w:rPr>
          <w:rFonts w:cs="Arial"/>
          <w:color w:val="1C1C1C"/>
        </w:rPr>
        <w:t xml:space="preserve"> programme, part of the Workforce Training and Education Directorate </w:t>
      </w:r>
      <w:r w:rsidR="00401083" w:rsidRPr="00413D35">
        <w:rPr>
          <w:rFonts w:cs="Arial"/>
          <w:color w:val="1C1C1C"/>
        </w:rPr>
        <w:t xml:space="preserve">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7F78C6">
      <w:pPr>
        <w:spacing w:after="24" w:line="276" w:lineRule="auto"/>
        <w:rPr>
          <w:rFonts w:cs="Arial"/>
          <w:color w:val="1C1C1C"/>
        </w:rPr>
      </w:pPr>
    </w:p>
    <w:p w14:paraId="541FB36F" w14:textId="3FCF84A8" w:rsidR="00401083" w:rsidRDefault="008D5581" w:rsidP="007F78C6">
      <w:pPr>
        <w:tabs>
          <w:tab w:val="left" w:pos="1985"/>
        </w:tabs>
        <w:spacing w:after="24" w:line="276" w:lineRule="auto"/>
        <w:rPr>
          <w:rFonts w:cs="Arial"/>
          <w:color w:val="1C1C1C"/>
        </w:rPr>
      </w:pPr>
      <w:r>
        <w:rPr>
          <w:rFonts w:cs="Arial"/>
          <w:color w:val="1C1C1C"/>
        </w:rPr>
        <w:t xml:space="preserve">Pathology Networks </w:t>
      </w:r>
      <w:r w:rsidRPr="00413D35">
        <w:rPr>
          <w:rFonts w:cs="Arial"/>
          <w:color w:val="1C1C1C"/>
        </w:rPr>
        <w:t>receiving</w:t>
      </w:r>
      <w:r w:rsidR="009F3C7D" w:rsidRPr="00413D35">
        <w:rPr>
          <w:rFonts w:cs="Arial"/>
          <w:color w:val="1C1C1C"/>
        </w:rPr>
        <w:t xml:space="preserve"> this funding will be required to </w:t>
      </w:r>
      <w:r w:rsidR="00F017F9">
        <w:rPr>
          <w:rFonts w:cs="Arial"/>
          <w:color w:val="1C1C1C"/>
        </w:rPr>
        <w:t xml:space="preserve">provide </w:t>
      </w:r>
      <w:r w:rsidR="00401083" w:rsidRPr="00413D35">
        <w:rPr>
          <w:rFonts w:cs="Arial"/>
          <w:color w:val="1C1C1C"/>
        </w:rPr>
        <w:t>update</w:t>
      </w:r>
      <w:r w:rsidR="00F017F9">
        <w:rPr>
          <w:rFonts w:cs="Arial"/>
          <w:color w:val="1C1C1C"/>
        </w:rPr>
        <w:t>s</w:t>
      </w:r>
      <w:r w:rsidR="009F3C7D" w:rsidRPr="00413D35">
        <w:rPr>
          <w:rFonts w:cs="Arial"/>
          <w:color w:val="1C1C1C"/>
        </w:rPr>
        <w:t xml:space="preserve"> </w:t>
      </w:r>
      <w:r>
        <w:rPr>
          <w:rFonts w:cs="Arial"/>
          <w:color w:val="1C1C1C"/>
        </w:rPr>
        <w:t xml:space="preserve">on this investment </w:t>
      </w:r>
      <w:r w:rsidR="009F3C7D" w:rsidRPr="00413D35">
        <w:rPr>
          <w:rFonts w:cs="Arial"/>
          <w:color w:val="1C1C1C"/>
        </w:rPr>
        <w:t xml:space="preserve">as well as an end of </w:t>
      </w:r>
      <w:r w:rsidR="00CB506C">
        <w:rPr>
          <w:rFonts w:cs="Arial"/>
          <w:color w:val="1C1C1C"/>
        </w:rPr>
        <w:t>year</w:t>
      </w:r>
      <w:r w:rsidR="009F3C7D" w:rsidRPr="00413D35">
        <w:rPr>
          <w:rFonts w:cs="Arial"/>
          <w:color w:val="1C1C1C"/>
        </w:rPr>
        <w:t xml:space="preserve"> impact assessment which will inform a regional evaluation. We will provide more details on this once funding is confirmed.</w:t>
      </w:r>
    </w:p>
    <w:p w14:paraId="7420C31B" w14:textId="77777777" w:rsidR="00AE4A6D" w:rsidRDefault="00AE4A6D" w:rsidP="00AE4A6D">
      <w:pPr>
        <w:jc w:val="both"/>
        <w:rPr>
          <w:rFonts w:cs="Arial"/>
          <w:b/>
          <w:bCs/>
          <w:color w:val="00A9CE"/>
          <w:sz w:val="32"/>
          <w:szCs w:val="32"/>
        </w:rPr>
      </w:pPr>
    </w:p>
    <w:p w14:paraId="1A07CBF3" w14:textId="35FADDEE" w:rsidR="00AE4A6D" w:rsidRPr="006D6D0D" w:rsidRDefault="00AE4A6D" w:rsidP="00706D50">
      <w:pPr>
        <w:pStyle w:val="Heading2"/>
      </w:pPr>
      <w:r w:rsidRPr="006D6D0D">
        <w:t>Further Information</w:t>
      </w:r>
    </w:p>
    <w:p w14:paraId="6BF38DCB" w14:textId="77777777" w:rsidR="00AE4A6D" w:rsidRPr="00B07B65" w:rsidRDefault="00AE4A6D" w:rsidP="00AE4A6D">
      <w:pPr>
        <w:jc w:val="both"/>
        <w:rPr>
          <w:rFonts w:cs="Arial"/>
          <w:b/>
          <w:bCs/>
          <w:iCs/>
          <w:color w:val="003893"/>
          <w:sz w:val="28"/>
          <w:szCs w:val="28"/>
        </w:rPr>
      </w:pPr>
      <w:r>
        <w:rPr>
          <w:rFonts w:cs="Arial"/>
          <w:b/>
          <w:bCs/>
          <w:iCs/>
          <w:color w:val="003893"/>
          <w:sz w:val="28"/>
          <w:szCs w:val="28"/>
        </w:rPr>
        <w:t>The NHSE Educator Workforce Strategy 2023</w:t>
      </w:r>
    </w:p>
    <w:p w14:paraId="79938ACC" w14:textId="77777777" w:rsidR="00AE4A6D" w:rsidRDefault="00AE4A6D" w:rsidP="00AE4A6D">
      <w:pPr>
        <w:jc w:val="both"/>
        <w:rPr>
          <w:rFonts w:cs="Arial"/>
          <w:iCs/>
          <w:color w:val="005EB8" w:themeColor="text1"/>
        </w:rPr>
      </w:pPr>
    </w:p>
    <w:p w14:paraId="2C409D3C" w14:textId="77777777" w:rsidR="00AE4A6D" w:rsidRPr="00413D35" w:rsidRDefault="00AE4A6D" w:rsidP="00AE4A6D">
      <w:pPr>
        <w:spacing w:after="24" w:line="276" w:lineRule="auto"/>
        <w:jc w:val="both"/>
        <w:rPr>
          <w:rFonts w:cs="Arial"/>
          <w:iCs/>
          <w:color w:val="1C1C1C"/>
        </w:rPr>
      </w:pPr>
      <w:r w:rsidRPr="00413D35">
        <w:rPr>
          <w:rFonts w:cs="Arial"/>
          <w:iCs/>
          <w:color w:val="1C1C1C"/>
        </w:rPr>
        <w:t xml:space="preserve">NHS England (NHSE) published the </w:t>
      </w:r>
      <w:hyperlink r:id="rId14" w:history="1">
        <w:r w:rsidRPr="007200CE">
          <w:rPr>
            <w:rStyle w:val="Hyperlink"/>
            <w:rFonts w:cs="Arial"/>
            <w:iCs/>
          </w:rPr>
          <w:t>Educator Workforce Strategy</w:t>
        </w:r>
      </w:hyperlink>
      <w:r w:rsidRPr="00C851AF">
        <w:rPr>
          <w:rFonts w:cs="Arial"/>
          <w:iCs/>
          <w:color w:val="005EB8" w:themeColor="text1"/>
        </w:rPr>
        <w:t xml:space="preserve"> (2023) </w:t>
      </w:r>
      <w:r w:rsidRPr="00413D35">
        <w:rPr>
          <w:rFonts w:cs="Arial"/>
          <w:iCs/>
          <w:color w:val="1C1C1C"/>
        </w:rPr>
        <w:t xml:space="preserve">which sets out actions to support the provision of educators which will enable growth in the healthcare workforce that is required to deliver care, now and in the future. The strategy has seven strategic priorities that underpins future PE planning and provision. </w:t>
      </w:r>
    </w:p>
    <w:p w14:paraId="45DCDAA4" w14:textId="77777777" w:rsidR="00AE4A6D" w:rsidRPr="00413D35" w:rsidRDefault="00AE4A6D" w:rsidP="00AE4A6D">
      <w:pPr>
        <w:spacing w:after="24" w:line="276" w:lineRule="auto"/>
        <w:jc w:val="both"/>
        <w:rPr>
          <w:rFonts w:cs="Arial"/>
          <w:iCs/>
          <w:color w:val="1C1C1C"/>
        </w:rPr>
      </w:pPr>
    </w:p>
    <w:p w14:paraId="44BCA93C" w14:textId="77777777" w:rsidR="00AE4A6D" w:rsidRDefault="00AE4A6D" w:rsidP="00AE4A6D">
      <w:pPr>
        <w:spacing w:after="24" w:line="276" w:lineRule="auto"/>
        <w:jc w:val="both"/>
        <w:rPr>
          <w:rFonts w:cs="Arial"/>
          <w:iCs/>
          <w:color w:val="1C1C1C"/>
        </w:rPr>
      </w:pPr>
      <w:r w:rsidRPr="00413D35">
        <w:rPr>
          <w:rFonts w:cs="Arial"/>
          <w:iCs/>
          <w:color w:val="1C1C1C"/>
        </w:rPr>
        <w:t xml:space="preserve">The Educator Workforce Strategy complements the </w:t>
      </w:r>
      <w:hyperlink r:id="rId15" w:history="1">
        <w:r w:rsidRPr="009262CA">
          <w:rPr>
            <w:rStyle w:val="Hyperlink"/>
            <w:rFonts w:cs="Arial"/>
            <w:iCs/>
          </w:rPr>
          <w:t>NHS Long Term Workforce Plan (2023)</w:t>
        </w:r>
      </w:hyperlink>
      <w:r w:rsidRPr="00413D35">
        <w:rPr>
          <w:rFonts w:cs="Arial"/>
          <w:iCs/>
          <w:color w:val="1C1C1C"/>
        </w:rPr>
        <w:t xml:space="preserve"> and presents an opportunity to rethink the approach to enabling and sustaining high quality healthcare </w:t>
      </w:r>
      <w:r w:rsidRPr="00413D35">
        <w:rPr>
          <w:rFonts w:cs="Arial"/>
          <w:iCs/>
          <w:color w:val="1C1C1C"/>
        </w:rPr>
        <w:lastRenderedPageBreak/>
        <w:t>education and training. It calls for a re-evaluation of the roles of educators across healthcare professions to ensure that we maximise evidence-based benefits and efficiencies in opportunities to both learn inter-professionally and learn from one another.</w:t>
      </w:r>
    </w:p>
    <w:p w14:paraId="680317B6" w14:textId="77777777" w:rsidR="00DA4308" w:rsidRDefault="00DA4308" w:rsidP="00D10E69">
      <w:pPr>
        <w:spacing w:after="24" w:line="276" w:lineRule="auto"/>
        <w:jc w:val="both"/>
        <w:rPr>
          <w:rFonts w:cs="Arial"/>
          <w:lang w:val="en-U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99BCB1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6" w:history="1">
        <w:r w:rsidR="00984192" w:rsidRPr="00A665DB">
          <w:rPr>
            <w:rStyle w:val="Hyperlink"/>
            <w:rFonts w:asciiTheme="minorHAnsi" w:hAnsiTheme="minorHAnsi" w:cstheme="minorHAnsi"/>
          </w:rPr>
          <w:t>england.canceranddiagnostics.se@nhs.net</w:t>
        </w:r>
      </w:hyperlink>
      <w:r w:rsidR="00984192">
        <w:rPr>
          <w:rFonts w:asciiTheme="minorHAnsi" w:hAnsiTheme="minorHAnsi" w:cstheme="minorHAnsi"/>
        </w:rPr>
        <w:t xml:space="preserve"> </w:t>
      </w:r>
    </w:p>
    <w:p w14:paraId="649470FB" w14:textId="40C9FE29" w:rsidR="00F808E1" w:rsidRPr="008D5581" w:rsidRDefault="00F808E1" w:rsidP="008D5581">
      <w:pPr>
        <w:rPr>
          <w:rFonts w:asciiTheme="minorHAnsi" w:hAnsiTheme="minorHAnsi" w:cstheme="minorHAnsi"/>
        </w:rPr>
      </w:pPr>
    </w:p>
    <w:sectPr w:rsidR="00F808E1" w:rsidRPr="008D5581" w:rsidSect="00DD7F34">
      <w:headerReference w:type="default" r:id="rId17"/>
      <w:footerReference w:type="even" r:id="rId18"/>
      <w:footerReference w:type="default" r:id="rId19"/>
      <w:headerReference w:type="first" r:id="rId20"/>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B924" w14:textId="77777777" w:rsidR="00DD7F34" w:rsidRDefault="00DD7F34" w:rsidP="00AC72FD">
      <w:r>
        <w:separator/>
      </w:r>
    </w:p>
  </w:endnote>
  <w:endnote w:type="continuationSeparator" w:id="0">
    <w:p w14:paraId="3EED00AB" w14:textId="77777777" w:rsidR="00DD7F34" w:rsidRDefault="00DD7F34" w:rsidP="00AC72FD">
      <w:r>
        <w:continuationSeparator/>
      </w:r>
    </w:p>
  </w:endnote>
  <w:endnote w:type="continuationNotice" w:id="1">
    <w:p w14:paraId="11644AF4" w14:textId="77777777" w:rsidR="00DD7F34" w:rsidRDefault="00DD7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C6A2" w14:textId="77777777" w:rsidR="00DD7F34" w:rsidRDefault="00DD7F34" w:rsidP="00AC72FD">
      <w:r>
        <w:separator/>
      </w:r>
    </w:p>
  </w:footnote>
  <w:footnote w:type="continuationSeparator" w:id="0">
    <w:p w14:paraId="19526087" w14:textId="77777777" w:rsidR="00DD7F34" w:rsidRDefault="00DD7F34" w:rsidP="00AC72FD">
      <w:r>
        <w:continuationSeparator/>
      </w:r>
    </w:p>
  </w:footnote>
  <w:footnote w:type="continuationNotice" w:id="1">
    <w:p w14:paraId="2AEA6226" w14:textId="77777777" w:rsidR="00DD7F34" w:rsidRDefault="00DD7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41A06C3" w:rsidR="00ED2809" w:rsidRPr="00AC72FD" w:rsidRDefault="005B2AA5" w:rsidP="00964AF4">
    <w:pPr>
      <w:pStyle w:val="Heading2"/>
      <w:spacing w:after="400"/>
      <w:jc w:val="right"/>
    </w:pPr>
    <w:r>
      <w:t xml:space="preserve">South East </w:t>
    </w:r>
    <w:r w:rsidR="000F74D4">
      <w:t xml:space="preserve">Pathology </w:t>
    </w:r>
    <w:r w:rsidR="008D5581">
      <w:t>Practice Education</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B376EE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2"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2A0"/>
    <w:multiLevelType w:val="hybridMultilevel"/>
    <w:tmpl w:val="3A6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F95DB6"/>
    <w:multiLevelType w:val="hybridMultilevel"/>
    <w:tmpl w:val="A920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4292C"/>
    <w:multiLevelType w:val="hybridMultilevel"/>
    <w:tmpl w:val="5220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03390"/>
    <w:multiLevelType w:val="hybridMultilevel"/>
    <w:tmpl w:val="DB9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D61C8"/>
    <w:multiLevelType w:val="hybridMultilevel"/>
    <w:tmpl w:val="0D42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25305"/>
    <w:multiLevelType w:val="hybridMultilevel"/>
    <w:tmpl w:val="78F0FA4E"/>
    <w:lvl w:ilvl="0" w:tplc="24DEE0C8">
      <w:start w:val="1"/>
      <w:numFmt w:val="bullet"/>
      <w:lvlText w:val="•"/>
      <w:lvlJc w:val="left"/>
      <w:pPr>
        <w:tabs>
          <w:tab w:val="num" w:pos="720"/>
        </w:tabs>
        <w:ind w:left="720" w:hanging="360"/>
      </w:pPr>
      <w:rPr>
        <w:rFonts w:ascii="Arial" w:hAnsi="Arial" w:hint="default"/>
      </w:rPr>
    </w:lvl>
    <w:lvl w:ilvl="1" w:tplc="192873B8" w:tentative="1">
      <w:start w:val="1"/>
      <w:numFmt w:val="bullet"/>
      <w:lvlText w:val="•"/>
      <w:lvlJc w:val="left"/>
      <w:pPr>
        <w:tabs>
          <w:tab w:val="num" w:pos="1440"/>
        </w:tabs>
        <w:ind w:left="1440" w:hanging="360"/>
      </w:pPr>
      <w:rPr>
        <w:rFonts w:ascii="Arial" w:hAnsi="Arial" w:hint="default"/>
      </w:rPr>
    </w:lvl>
    <w:lvl w:ilvl="2" w:tplc="F27E4B76" w:tentative="1">
      <w:start w:val="1"/>
      <w:numFmt w:val="bullet"/>
      <w:lvlText w:val="•"/>
      <w:lvlJc w:val="left"/>
      <w:pPr>
        <w:tabs>
          <w:tab w:val="num" w:pos="2160"/>
        </w:tabs>
        <w:ind w:left="2160" w:hanging="360"/>
      </w:pPr>
      <w:rPr>
        <w:rFonts w:ascii="Arial" w:hAnsi="Arial" w:hint="default"/>
      </w:rPr>
    </w:lvl>
    <w:lvl w:ilvl="3" w:tplc="40EE7202" w:tentative="1">
      <w:start w:val="1"/>
      <w:numFmt w:val="bullet"/>
      <w:lvlText w:val="•"/>
      <w:lvlJc w:val="left"/>
      <w:pPr>
        <w:tabs>
          <w:tab w:val="num" w:pos="2880"/>
        </w:tabs>
        <w:ind w:left="2880" w:hanging="360"/>
      </w:pPr>
      <w:rPr>
        <w:rFonts w:ascii="Arial" w:hAnsi="Arial" w:hint="default"/>
      </w:rPr>
    </w:lvl>
    <w:lvl w:ilvl="4" w:tplc="4DF2D6E4" w:tentative="1">
      <w:start w:val="1"/>
      <w:numFmt w:val="bullet"/>
      <w:lvlText w:val="•"/>
      <w:lvlJc w:val="left"/>
      <w:pPr>
        <w:tabs>
          <w:tab w:val="num" w:pos="3600"/>
        </w:tabs>
        <w:ind w:left="3600" w:hanging="360"/>
      </w:pPr>
      <w:rPr>
        <w:rFonts w:ascii="Arial" w:hAnsi="Arial" w:hint="default"/>
      </w:rPr>
    </w:lvl>
    <w:lvl w:ilvl="5" w:tplc="6D0CDD28" w:tentative="1">
      <w:start w:val="1"/>
      <w:numFmt w:val="bullet"/>
      <w:lvlText w:val="•"/>
      <w:lvlJc w:val="left"/>
      <w:pPr>
        <w:tabs>
          <w:tab w:val="num" w:pos="4320"/>
        </w:tabs>
        <w:ind w:left="4320" w:hanging="360"/>
      </w:pPr>
      <w:rPr>
        <w:rFonts w:ascii="Arial" w:hAnsi="Arial" w:hint="default"/>
      </w:rPr>
    </w:lvl>
    <w:lvl w:ilvl="6" w:tplc="D6786072" w:tentative="1">
      <w:start w:val="1"/>
      <w:numFmt w:val="bullet"/>
      <w:lvlText w:val="•"/>
      <w:lvlJc w:val="left"/>
      <w:pPr>
        <w:tabs>
          <w:tab w:val="num" w:pos="5040"/>
        </w:tabs>
        <w:ind w:left="5040" w:hanging="360"/>
      </w:pPr>
      <w:rPr>
        <w:rFonts w:ascii="Arial" w:hAnsi="Arial" w:hint="default"/>
      </w:rPr>
    </w:lvl>
    <w:lvl w:ilvl="7" w:tplc="8468EA00" w:tentative="1">
      <w:start w:val="1"/>
      <w:numFmt w:val="bullet"/>
      <w:lvlText w:val="•"/>
      <w:lvlJc w:val="left"/>
      <w:pPr>
        <w:tabs>
          <w:tab w:val="num" w:pos="5760"/>
        </w:tabs>
        <w:ind w:left="5760" w:hanging="360"/>
      </w:pPr>
      <w:rPr>
        <w:rFonts w:ascii="Arial" w:hAnsi="Arial" w:hint="default"/>
      </w:rPr>
    </w:lvl>
    <w:lvl w:ilvl="8" w:tplc="9B1C11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32B02"/>
    <w:multiLevelType w:val="hybridMultilevel"/>
    <w:tmpl w:val="29840A48"/>
    <w:lvl w:ilvl="0" w:tplc="DD2EDBDA">
      <w:start w:val="1"/>
      <w:numFmt w:val="bullet"/>
      <w:lvlText w:val="•"/>
      <w:lvlJc w:val="left"/>
      <w:pPr>
        <w:tabs>
          <w:tab w:val="num" w:pos="720"/>
        </w:tabs>
        <w:ind w:left="720" w:hanging="360"/>
      </w:pPr>
      <w:rPr>
        <w:rFonts w:ascii="Arial" w:hAnsi="Arial" w:hint="default"/>
      </w:rPr>
    </w:lvl>
    <w:lvl w:ilvl="1" w:tplc="E990CCC8" w:tentative="1">
      <w:start w:val="1"/>
      <w:numFmt w:val="bullet"/>
      <w:lvlText w:val="•"/>
      <w:lvlJc w:val="left"/>
      <w:pPr>
        <w:tabs>
          <w:tab w:val="num" w:pos="1440"/>
        </w:tabs>
        <w:ind w:left="1440" w:hanging="360"/>
      </w:pPr>
      <w:rPr>
        <w:rFonts w:ascii="Arial" w:hAnsi="Arial" w:hint="default"/>
      </w:rPr>
    </w:lvl>
    <w:lvl w:ilvl="2" w:tplc="B35A1144" w:tentative="1">
      <w:start w:val="1"/>
      <w:numFmt w:val="bullet"/>
      <w:lvlText w:val="•"/>
      <w:lvlJc w:val="left"/>
      <w:pPr>
        <w:tabs>
          <w:tab w:val="num" w:pos="2160"/>
        </w:tabs>
        <w:ind w:left="2160" w:hanging="360"/>
      </w:pPr>
      <w:rPr>
        <w:rFonts w:ascii="Arial" w:hAnsi="Arial" w:hint="default"/>
      </w:rPr>
    </w:lvl>
    <w:lvl w:ilvl="3" w:tplc="CEDC70A2" w:tentative="1">
      <w:start w:val="1"/>
      <w:numFmt w:val="bullet"/>
      <w:lvlText w:val="•"/>
      <w:lvlJc w:val="left"/>
      <w:pPr>
        <w:tabs>
          <w:tab w:val="num" w:pos="2880"/>
        </w:tabs>
        <w:ind w:left="2880" w:hanging="360"/>
      </w:pPr>
      <w:rPr>
        <w:rFonts w:ascii="Arial" w:hAnsi="Arial" w:hint="default"/>
      </w:rPr>
    </w:lvl>
    <w:lvl w:ilvl="4" w:tplc="6FC65762" w:tentative="1">
      <w:start w:val="1"/>
      <w:numFmt w:val="bullet"/>
      <w:lvlText w:val="•"/>
      <w:lvlJc w:val="left"/>
      <w:pPr>
        <w:tabs>
          <w:tab w:val="num" w:pos="3600"/>
        </w:tabs>
        <w:ind w:left="3600" w:hanging="360"/>
      </w:pPr>
      <w:rPr>
        <w:rFonts w:ascii="Arial" w:hAnsi="Arial" w:hint="default"/>
      </w:rPr>
    </w:lvl>
    <w:lvl w:ilvl="5" w:tplc="B2BA18BE" w:tentative="1">
      <w:start w:val="1"/>
      <w:numFmt w:val="bullet"/>
      <w:lvlText w:val="•"/>
      <w:lvlJc w:val="left"/>
      <w:pPr>
        <w:tabs>
          <w:tab w:val="num" w:pos="4320"/>
        </w:tabs>
        <w:ind w:left="4320" w:hanging="360"/>
      </w:pPr>
      <w:rPr>
        <w:rFonts w:ascii="Arial" w:hAnsi="Arial" w:hint="default"/>
      </w:rPr>
    </w:lvl>
    <w:lvl w:ilvl="6" w:tplc="B8868920" w:tentative="1">
      <w:start w:val="1"/>
      <w:numFmt w:val="bullet"/>
      <w:lvlText w:val="•"/>
      <w:lvlJc w:val="left"/>
      <w:pPr>
        <w:tabs>
          <w:tab w:val="num" w:pos="5040"/>
        </w:tabs>
        <w:ind w:left="5040" w:hanging="360"/>
      </w:pPr>
      <w:rPr>
        <w:rFonts w:ascii="Arial" w:hAnsi="Arial" w:hint="default"/>
      </w:rPr>
    </w:lvl>
    <w:lvl w:ilvl="7" w:tplc="0CF218BA" w:tentative="1">
      <w:start w:val="1"/>
      <w:numFmt w:val="bullet"/>
      <w:lvlText w:val="•"/>
      <w:lvlJc w:val="left"/>
      <w:pPr>
        <w:tabs>
          <w:tab w:val="num" w:pos="5760"/>
        </w:tabs>
        <w:ind w:left="5760" w:hanging="360"/>
      </w:pPr>
      <w:rPr>
        <w:rFonts w:ascii="Arial" w:hAnsi="Arial" w:hint="default"/>
      </w:rPr>
    </w:lvl>
    <w:lvl w:ilvl="8" w:tplc="E9C27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B14CD"/>
    <w:multiLevelType w:val="hybridMultilevel"/>
    <w:tmpl w:val="5890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15119"/>
    <w:multiLevelType w:val="hybridMultilevel"/>
    <w:tmpl w:val="F7169DDE"/>
    <w:lvl w:ilvl="0" w:tplc="F754F972">
      <w:start w:val="1"/>
      <w:numFmt w:val="bullet"/>
      <w:lvlText w:val="•"/>
      <w:lvlJc w:val="left"/>
      <w:pPr>
        <w:tabs>
          <w:tab w:val="num" w:pos="720"/>
        </w:tabs>
        <w:ind w:left="720" w:hanging="360"/>
      </w:pPr>
      <w:rPr>
        <w:rFonts w:ascii="Arial" w:hAnsi="Arial" w:hint="default"/>
      </w:rPr>
    </w:lvl>
    <w:lvl w:ilvl="1" w:tplc="1AD84FCE" w:tentative="1">
      <w:start w:val="1"/>
      <w:numFmt w:val="bullet"/>
      <w:lvlText w:val="•"/>
      <w:lvlJc w:val="left"/>
      <w:pPr>
        <w:tabs>
          <w:tab w:val="num" w:pos="1440"/>
        </w:tabs>
        <w:ind w:left="1440" w:hanging="360"/>
      </w:pPr>
      <w:rPr>
        <w:rFonts w:ascii="Arial" w:hAnsi="Arial" w:hint="default"/>
      </w:rPr>
    </w:lvl>
    <w:lvl w:ilvl="2" w:tplc="1540B2E6" w:tentative="1">
      <w:start w:val="1"/>
      <w:numFmt w:val="bullet"/>
      <w:lvlText w:val="•"/>
      <w:lvlJc w:val="left"/>
      <w:pPr>
        <w:tabs>
          <w:tab w:val="num" w:pos="2160"/>
        </w:tabs>
        <w:ind w:left="2160" w:hanging="360"/>
      </w:pPr>
      <w:rPr>
        <w:rFonts w:ascii="Arial" w:hAnsi="Arial" w:hint="default"/>
      </w:rPr>
    </w:lvl>
    <w:lvl w:ilvl="3" w:tplc="90E632C2" w:tentative="1">
      <w:start w:val="1"/>
      <w:numFmt w:val="bullet"/>
      <w:lvlText w:val="•"/>
      <w:lvlJc w:val="left"/>
      <w:pPr>
        <w:tabs>
          <w:tab w:val="num" w:pos="2880"/>
        </w:tabs>
        <w:ind w:left="2880" w:hanging="360"/>
      </w:pPr>
      <w:rPr>
        <w:rFonts w:ascii="Arial" w:hAnsi="Arial" w:hint="default"/>
      </w:rPr>
    </w:lvl>
    <w:lvl w:ilvl="4" w:tplc="B9940638" w:tentative="1">
      <w:start w:val="1"/>
      <w:numFmt w:val="bullet"/>
      <w:lvlText w:val="•"/>
      <w:lvlJc w:val="left"/>
      <w:pPr>
        <w:tabs>
          <w:tab w:val="num" w:pos="3600"/>
        </w:tabs>
        <w:ind w:left="3600" w:hanging="360"/>
      </w:pPr>
      <w:rPr>
        <w:rFonts w:ascii="Arial" w:hAnsi="Arial" w:hint="default"/>
      </w:rPr>
    </w:lvl>
    <w:lvl w:ilvl="5" w:tplc="0FFA6C6C" w:tentative="1">
      <w:start w:val="1"/>
      <w:numFmt w:val="bullet"/>
      <w:lvlText w:val="•"/>
      <w:lvlJc w:val="left"/>
      <w:pPr>
        <w:tabs>
          <w:tab w:val="num" w:pos="4320"/>
        </w:tabs>
        <w:ind w:left="4320" w:hanging="360"/>
      </w:pPr>
      <w:rPr>
        <w:rFonts w:ascii="Arial" w:hAnsi="Arial" w:hint="default"/>
      </w:rPr>
    </w:lvl>
    <w:lvl w:ilvl="6" w:tplc="F22C2668" w:tentative="1">
      <w:start w:val="1"/>
      <w:numFmt w:val="bullet"/>
      <w:lvlText w:val="•"/>
      <w:lvlJc w:val="left"/>
      <w:pPr>
        <w:tabs>
          <w:tab w:val="num" w:pos="5040"/>
        </w:tabs>
        <w:ind w:left="5040" w:hanging="360"/>
      </w:pPr>
      <w:rPr>
        <w:rFonts w:ascii="Arial" w:hAnsi="Arial" w:hint="default"/>
      </w:rPr>
    </w:lvl>
    <w:lvl w:ilvl="7" w:tplc="CB983646" w:tentative="1">
      <w:start w:val="1"/>
      <w:numFmt w:val="bullet"/>
      <w:lvlText w:val="•"/>
      <w:lvlJc w:val="left"/>
      <w:pPr>
        <w:tabs>
          <w:tab w:val="num" w:pos="5760"/>
        </w:tabs>
        <w:ind w:left="5760" w:hanging="360"/>
      </w:pPr>
      <w:rPr>
        <w:rFonts w:ascii="Arial" w:hAnsi="Arial" w:hint="default"/>
      </w:rPr>
    </w:lvl>
    <w:lvl w:ilvl="8" w:tplc="6D3E591C" w:tentative="1">
      <w:start w:val="1"/>
      <w:numFmt w:val="bullet"/>
      <w:lvlText w:val="•"/>
      <w:lvlJc w:val="left"/>
      <w:pPr>
        <w:tabs>
          <w:tab w:val="num" w:pos="6480"/>
        </w:tabs>
        <w:ind w:left="6480" w:hanging="360"/>
      </w:pPr>
      <w:rPr>
        <w:rFonts w:ascii="Arial" w:hAnsi="Arial" w:hint="default"/>
      </w:rPr>
    </w:lvl>
  </w:abstractNum>
  <w:num w:numId="1" w16cid:durableId="672948896">
    <w:abstractNumId w:val="22"/>
  </w:num>
  <w:num w:numId="2" w16cid:durableId="1008487205">
    <w:abstractNumId w:val="3"/>
  </w:num>
  <w:num w:numId="3" w16cid:durableId="357590161">
    <w:abstractNumId w:val="21"/>
  </w:num>
  <w:num w:numId="4" w16cid:durableId="1406878562">
    <w:abstractNumId w:val="13"/>
  </w:num>
  <w:num w:numId="5" w16cid:durableId="1552307307">
    <w:abstractNumId w:val="9"/>
  </w:num>
  <w:num w:numId="6" w16cid:durableId="1713773281">
    <w:abstractNumId w:val="19"/>
  </w:num>
  <w:num w:numId="7" w16cid:durableId="1140463999">
    <w:abstractNumId w:val="15"/>
  </w:num>
  <w:num w:numId="8" w16cid:durableId="813106143">
    <w:abstractNumId w:val="11"/>
  </w:num>
  <w:num w:numId="9" w16cid:durableId="715204697">
    <w:abstractNumId w:val="20"/>
  </w:num>
  <w:num w:numId="10" w16cid:durableId="338626201">
    <w:abstractNumId w:val="6"/>
  </w:num>
  <w:num w:numId="11" w16cid:durableId="261492241">
    <w:abstractNumId w:val="23"/>
  </w:num>
  <w:num w:numId="12" w16cid:durableId="1221862901">
    <w:abstractNumId w:val="0"/>
  </w:num>
  <w:num w:numId="13" w16cid:durableId="69816314">
    <w:abstractNumId w:val="1"/>
  </w:num>
  <w:num w:numId="14" w16cid:durableId="1683973369">
    <w:abstractNumId w:val="25"/>
  </w:num>
  <w:num w:numId="15" w16cid:durableId="768551341">
    <w:abstractNumId w:val="4"/>
  </w:num>
  <w:num w:numId="16" w16cid:durableId="916133247">
    <w:abstractNumId w:val="16"/>
  </w:num>
  <w:num w:numId="17" w16cid:durableId="1950698979">
    <w:abstractNumId w:val="10"/>
  </w:num>
  <w:num w:numId="18" w16cid:durableId="1830362464">
    <w:abstractNumId w:val="5"/>
  </w:num>
  <w:num w:numId="19" w16cid:durableId="1702508337">
    <w:abstractNumId w:val="2"/>
  </w:num>
  <w:num w:numId="20" w16cid:durableId="2121408865">
    <w:abstractNumId w:val="26"/>
  </w:num>
  <w:num w:numId="21" w16cid:durableId="489565632">
    <w:abstractNumId w:val="17"/>
  </w:num>
  <w:num w:numId="22" w16cid:durableId="540240336">
    <w:abstractNumId w:val="18"/>
  </w:num>
  <w:num w:numId="23" w16cid:durableId="470251022">
    <w:abstractNumId w:val="12"/>
  </w:num>
  <w:num w:numId="24" w16cid:durableId="319701807">
    <w:abstractNumId w:val="7"/>
  </w:num>
  <w:num w:numId="25" w16cid:durableId="749617050">
    <w:abstractNumId w:val="8"/>
  </w:num>
  <w:num w:numId="26" w16cid:durableId="2005812550">
    <w:abstractNumId w:val="14"/>
  </w:num>
  <w:num w:numId="27" w16cid:durableId="13745040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1C65"/>
    <w:rsid w:val="00015F92"/>
    <w:rsid w:val="00024F97"/>
    <w:rsid w:val="00027999"/>
    <w:rsid w:val="00034451"/>
    <w:rsid w:val="00043080"/>
    <w:rsid w:val="00043EE5"/>
    <w:rsid w:val="00064BD3"/>
    <w:rsid w:val="00070566"/>
    <w:rsid w:val="00074F27"/>
    <w:rsid w:val="00075959"/>
    <w:rsid w:val="000837B0"/>
    <w:rsid w:val="000916D6"/>
    <w:rsid w:val="00093EAE"/>
    <w:rsid w:val="000A07BC"/>
    <w:rsid w:val="000A114C"/>
    <w:rsid w:val="000B3795"/>
    <w:rsid w:val="000C380D"/>
    <w:rsid w:val="000E60D7"/>
    <w:rsid w:val="000E6E25"/>
    <w:rsid w:val="000F33A3"/>
    <w:rsid w:val="000F6180"/>
    <w:rsid w:val="000F74D4"/>
    <w:rsid w:val="000F7AC7"/>
    <w:rsid w:val="0010104E"/>
    <w:rsid w:val="00101FB9"/>
    <w:rsid w:val="00103841"/>
    <w:rsid w:val="0010391E"/>
    <w:rsid w:val="00103C07"/>
    <w:rsid w:val="00107CF7"/>
    <w:rsid w:val="00111F0B"/>
    <w:rsid w:val="001263B4"/>
    <w:rsid w:val="001269D6"/>
    <w:rsid w:val="00132CBC"/>
    <w:rsid w:val="00135A54"/>
    <w:rsid w:val="0014264A"/>
    <w:rsid w:val="0014327D"/>
    <w:rsid w:val="00144986"/>
    <w:rsid w:val="00151433"/>
    <w:rsid w:val="00177020"/>
    <w:rsid w:val="00184133"/>
    <w:rsid w:val="00194824"/>
    <w:rsid w:val="00195BFE"/>
    <w:rsid w:val="0019666A"/>
    <w:rsid w:val="001A03A4"/>
    <w:rsid w:val="001A3B4D"/>
    <w:rsid w:val="001A441F"/>
    <w:rsid w:val="001A70C0"/>
    <w:rsid w:val="001A738E"/>
    <w:rsid w:val="001B2A57"/>
    <w:rsid w:val="001B468B"/>
    <w:rsid w:val="001B634E"/>
    <w:rsid w:val="001C613A"/>
    <w:rsid w:val="001C6231"/>
    <w:rsid w:val="001D4F3A"/>
    <w:rsid w:val="001D7C80"/>
    <w:rsid w:val="001E1477"/>
    <w:rsid w:val="001F54B8"/>
    <w:rsid w:val="001F54D9"/>
    <w:rsid w:val="002008F8"/>
    <w:rsid w:val="00212968"/>
    <w:rsid w:val="00214162"/>
    <w:rsid w:val="00216E56"/>
    <w:rsid w:val="00222043"/>
    <w:rsid w:val="002227D3"/>
    <w:rsid w:val="002277EE"/>
    <w:rsid w:val="00235676"/>
    <w:rsid w:val="0025038D"/>
    <w:rsid w:val="002514C3"/>
    <w:rsid w:val="00254C8A"/>
    <w:rsid w:val="00271A5C"/>
    <w:rsid w:val="002737DA"/>
    <w:rsid w:val="0028083A"/>
    <w:rsid w:val="00291FC0"/>
    <w:rsid w:val="00292E3D"/>
    <w:rsid w:val="0029644E"/>
    <w:rsid w:val="002B015E"/>
    <w:rsid w:val="002B52AE"/>
    <w:rsid w:val="002C1402"/>
    <w:rsid w:val="002C3A12"/>
    <w:rsid w:val="002C7FD2"/>
    <w:rsid w:val="002D0EF7"/>
    <w:rsid w:val="002D6889"/>
    <w:rsid w:val="002E49BA"/>
    <w:rsid w:val="00314705"/>
    <w:rsid w:val="00315BD2"/>
    <w:rsid w:val="00317F85"/>
    <w:rsid w:val="003218AE"/>
    <w:rsid w:val="00323EF1"/>
    <w:rsid w:val="00334EDD"/>
    <w:rsid w:val="003355E6"/>
    <w:rsid w:val="00341627"/>
    <w:rsid w:val="00341E2F"/>
    <w:rsid w:val="003431BA"/>
    <w:rsid w:val="00344DE1"/>
    <w:rsid w:val="00345160"/>
    <w:rsid w:val="0034679F"/>
    <w:rsid w:val="00346F82"/>
    <w:rsid w:val="0036112F"/>
    <w:rsid w:val="00366C2F"/>
    <w:rsid w:val="00376DC2"/>
    <w:rsid w:val="0038048C"/>
    <w:rsid w:val="00381753"/>
    <w:rsid w:val="003906AE"/>
    <w:rsid w:val="003D33F6"/>
    <w:rsid w:val="003E235F"/>
    <w:rsid w:val="003E2C14"/>
    <w:rsid w:val="003F0A69"/>
    <w:rsid w:val="003F3051"/>
    <w:rsid w:val="003F3252"/>
    <w:rsid w:val="00401083"/>
    <w:rsid w:val="00410876"/>
    <w:rsid w:val="004139F2"/>
    <w:rsid w:val="00413D35"/>
    <w:rsid w:val="004251C2"/>
    <w:rsid w:val="0042708F"/>
    <w:rsid w:val="004303E9"/>
    <w:rsid w:val="004325CA"/>
    <w:rsid w:val="00436089"/>
    <w:rsid w:val="004429AF"/>
    <w:rsid w:val="00450806"/>
    <w:rsid w:val="00453BA2"/>
    <w:rsid w:val="00463294"/>
    <w:rsid w:val="00471DEC"/>
    <w:rsid w:val="00472C2D"/>
    <w:rsid w:val="00477C30"/>
    <w:rsid w:val="00484E43"/>
    <w:rsid w:val="0048506F"/>
    <w:rsid w:val="00492D26"/>
    <w:rsid w:val="004A78D8"/>
    <w:rsid w:val="004B2512"/>
    <w:rsid w:val="004B341D"/>
    <w:rsid w:val="004B3B37"/>
    <w:rsid w:val="004C455E"/>
    <w:rsid w:val="004C4EEF"/>
    <w:rsid w:val="004C5E8E"/>
    <w:rsid w:val="004E5604"/>
    <w:rsid w:val="004E704E"/>
    <w:rsid w:val="004F2923"/>
    <w:rsid w:val="004F2A2D"/>
    <w:rsid w:val="004F40CE"/>
    <w:rsid w:val="004F47A4"/>
    <w:rsid w:val="005008F3"/>
    <w:rsid w:val="00511668"/>
    <w:rsid w:val="00512D56"/>
    <w:rsid w:val="00514239"/>
    <w:rsid w:val="005226E7"/>
    <w:rsid w:val="0052410D"/>
    <w:rsid w:val="005244B3"/>
    <w:rsid w:val="00532830"/>
    <w:rsid w:val="00536AA1"/>
    <w:rsid w:val="0054422B"/>
    <w:rsid w:val="00545551"/>
    <w:rsid w:val="00557F44"/>
    <w:rsid w:val="005600EE"/>
    <w:rsid w:val="005616F5"/>
    <w:rsid w:val="00566E35"/>
    <w:rsid w:val="00575523"/>
    <w:rsid w:val="00590962"/>
    <w:rsid w:val="00597E24"/>
    <w:rsid w:val="005A4D68"/>
    <w:rsid w:val="005A744A"/>
    <w:rsid w:val="005B19A2"/>
    <w:rsid w:val="005B2AA5"/>
    <w:rsid w:val="005C7973"/>
    <w:rsid w:val="005C7ECA"/>
    <w:rsid w:val="005D727B"/>
    <w:rsid w:val="005E2A6B"/>
    <w:rsid w:val="005E6AE8"/>
    <w:rsid w:val="005E7828"/>
    <w:rsid w:val="005F1F7D"/>
    <w:rsid w:val="006065AA"/>
    <w:rsid w:val="006118A5"/>
    <w:rsid w:val="00611E0A"/>
    <w:rsid w:val="0061221F"/>
    <w:rsid w:val="0061396E"/>
    <w:rsid w:val="00613CCA"/>
    <w:rsid w:val="006142D7"/>
    <w:rsid w:val="00615FD2"/>
    <w:rsid w:val="00625536"/>
    <w:rsid w:val="006264C4"/>
    <w:rsid w:val="00630961"/>
    <w:rsid w:val="006443E2"/>
    <w:rsid w:val="00646D85"/>
    <w:rsid w:val="006503BC"/>
    <w:rsid w:val="00652EC2"/>
    <w:rsid w:val="006615BF"/>
    <w:rsid w:val="00663002"/>
    <w:rsid w:val="00663C7F"/>
    <w:rsid w:val="006665C1"/>
    <w:rsid w:val="00671357"/>
    <w:rsid w:val="0067525E"/>
    <w:rsid w:val="00677B8F"/>
    <w:rsid w:val="0068383B"/>
    <w:rsid w:val="00683AD2"/>
    <w:rsid w:val="0068698D"/>
    <w:rsid w:val="00692CD9"/>
    <w:rsid w:val="006A18B1"/>
    <w:rsid w:val="006A753A"/>
    <w:rsid w:val="006B0996"/>
    <w:rsid w:val="006C04E3"/>
    <w:rsid w:val="006C1240"/>
    <w:rsid w:val="006C3288"/>
    <w:rsid w:val="006C3CA3"/>
    <w:rsid w:val="006C6C42"/>
    <w:rsid w:val="006C78F0"/>
    <w:rsid w:val="006D2103"/>
    <w:rsid w:val="006D6D0D"/>
    <w:rsid w:val="006E0916"/>
    <w:rsid w:val="006E658F"/>
    <w:rsid w:val="006E6FD4"/>
    <w:rsid w:val="007052CF"/>
    <w:rsid w:val="00706D50"/>
    <w:rsid w:val="007071B9"/>
    <w:rsid w:val="007171FB"/>
    <w:rsid w:val="007200CE"/>
    <w:rsid w:val="0072766E"/>
    <w:rsid w:val="007501BC"/>
    <w:rsid w:val="00752F86"/>
    <w:rsid w:val="007653DF"/>
    <w:rsid w:val="00766CFB"/>
    <w:rsid w:val="0077190B"/>
    <w:rsid w:val="00776DA0"/>
    <w:rsid w:val="00782D6A"/>
    <w:rsid w:val="007A57BC"/>
    <w:rsid w:val="007C022E"/>
    <w:rsid w:val="007E4909"/>
    <w:rsid w:val="007E65D8"/>
    <w:rsid w:val="007E6CF5"/>
    <w:rsid w:val="007F2CB8"/>
    <w:rsid w:val="007F3770"/>
    <w:rsid w:val="007F78C6"/>
    <w:rsid w:val="00803F1F"/>
    <w:rsid w:val="00805DEA"/>
    <w:rsid w:val="0081178E"/>
    <w:rsid w:val="0081365E"/>
    <w:rsid w:val="00821663"/>
    <w:rsid w:val="00824FD7"/>
    <w:rsid w:val="008253DD"/>
    <w:rsid w:val="008302D8"/>
    <w:rsid w:val="00831F5F"/>
    <w:rsid w:val="00832F64"/>
    <w:rsid w:val="0084567D"/>
    <w:rsid w:val="008508D3"/>
    <w:rsid w:val="008521C2"/>
    <w:rsid w:val="00861C74"/>
    <w:rsid w:val="00865E04"/>
    <w:rsid w:val="00871E52"/>
    <w:rsid w:val="0088268E"/>
    <w:rsid w:val="0088309E"/>
    <w:rsid w:val="00886689"/>
    <w:rsid w:val="00894F53"/>
    <w:rsid w:val="00897F5F"/>
    <w:rsid w:val="008A2EE5"/>
    <w:rsid w:val="008A4834"/>
    <w:rsid w:val="008A4E30"/>
    <w:rsid w:val="008B0AFB"/>
    <w:rsid w:val="008B0C2E"/>
    <w:rsid w:val="008B0CD2"/>
    <w:rsid w:val="008B1E57"/>
    <w:rsid w:val="008B2FE2"/>
    <w:rsid w:val="008C0D94"/>
    <w:rsid w:val="008C223F"/>
    <w:rsid w:val="008C6BE3"/>
    <w:rsid w:val="008D0099"/>
    <w:rsid w:val="008D2621"/>
    <w:rsid w:val="008D5581"/>
    <w:rsid w:val="008F08D4"/>
    <w:rsid w:val="008F1A3E"/>
    <w:rsid w:val="008F2E47"/>
    <w:rsid w:val="008F3127"/>
    <w:rsid w:val="0090474D"/>
    <w:rsid w:val="00906015"/>
    <w:rsid w:val="0091039C"/>
    <w:rsid w:val="00920C69"/>
    <w:rsid w:val="00926DF8"/>
    <w:rsid w:val="00933394"/>
    <w:rsid w:val="0093548E"/>
    <w:rsid w:val="00937DF6"/>
    <w:rsid w:val="009400BD"/>
    <w:rsid w:val="00950E33"/>
    <w:rsid w:val="00956590"/>
    <w:rsid w:val="009648C3"/>
    <w:rsid w:val="00964AF4"/>
    <w:rsid w:val="00966272"/>
    <w:rsid w:val="00966B3E"/>
    <w:rsid w:val="00971F2C"/>
    <w:rsid w:val="00973E16"/>
    <w:rsid w:val="009835E3"/>
    <w:rsid w:val="00984192"/>
    <w:rsid w:val="0098626C"/>
    <w:rsid w:val="00992DA7"/>
    <w:rsid w:val="0099555E"/>
    <w:rsid w:val="00995607"/>
    <w:rsid w:val="009A56AC"/>
    <w:rsid w:val="009A79E2"/>
    <w:rsid w:val="009B585D"/>
    <w:rsid w:val="009C7F02"/>
    <w:rsid w:val="009D32F5"/>
    <w:rsid w:val="009D4078"/>
    <w:rsid w:val="009D652D"/>
    <w:rsid w:val="009E2641"/>
    <w:rsid w:val="009F1808"/>
    <w:rsid w:val="009F1929"/>
    <w:rsid w:val="009F2413"/>
    <w:rsid w:val="009F3C7D"/>
    <w:rsid w:val="009F4CBD"/>
    <w:rsid w:val="00A030ED"/>
    <w:rsid w:val="00A10CAD"/>
    <w:rsid w:val="00A11692"/>
    <w:rsid w:val="00A13FC6"/>
    <w:rsid w:val="00A202DC"/>
    <w:rsid w:val="00A32DBE"/>
    <w:rsid w:val="00A41F17"/>
    <w:rsid w:val="00A45579"/>
    <w:rsid w:val="00A50507"/>
    <w:rsid w:val="00A51D6B"/>
    <w:rsid w:val="00A56F3B"/>
    <w:rsid w:val="00A622DB"/>
    <w:rsid w:val="00A63429"/>
    <w:rsid w:val="00A65C8D"/>
    <w:rsid w:val="00A76867"/>
    <w:rsid w:val="00A77A6B"/>
    <w:rsid w:val="00A820F2"/>
    <w:rsid w:val="00A824FC"/>
    <w:rsid w:val="00A84B61"/>
    <w:rsid w:val="00A917F4"/>
    <w:rsid w:val="00A9515C"/>
    <w:rsid w:val="00A97588"/>
    <w:rsid w:val="00AA400D"/>
    <w:rsid w:val="00AC72FD"/>
    <w:rsid w:val="00AD3004"/>
    <w:rsid w:val="00AD48CC"/>
    <w:rsid w:val="00AD7276"/>
    <w:rsid w:val="00AE16AD"/>
    <w:rsid w:val="00AE2503"/>
    <w:rsid w:val="00AE4A6D"/>
    <w:rsid w:val="00AF0194"/>
    <w:rsid w:val="00B02348"/>
    <w:rsid w:val="00B07B65"/>
    <w:rsid w:val="00B11EDB"/>
    <w:rsid w:val="00B16D89"/>
    <w:rsid w:val="00B22AA5"/>
    <w:rsid w:val="00B26969"/>
    <w:rsid w:val="00B37F95"/>
    <w:rsid w:val="00B43294"/>
    <w:rsid w:val="00B441F0"/>
    <w:rsid w:val="00B44DC5"/>
    <w:rsid w:val="00B516CC"/>
    <w:rsid w:val="00B57C0F"/>
    <w:rsid w:val="00B606AF"/>
    <w:rsid w:val="00B73BDE"/>
    <w:rsid w:val="00B80851"/>
    <w:rsid w:val="00B90329"/>
    <w:rsid w:val="00B91629"/>
    <w:rsid w:val="00B954E1"/>
    <w:rsid w:val="00B97FE0"/>
    <w:rsid w:val="00BA055C"/>
    <w:rsid w:val="00BB2C27"/>
    <w:rsid w:val="00BC1D0D"/>
    <w:rsid w:val="00BC3EE5"/>
    <w:rsid w:val="00BC5AF5"/>
    <w:rsid w:val="00BD2C6C"/>
    <w:rsid w:val="00BD4D87"/>
    <w:rsid w:val="00BD5892"/>
    <w:rsid w:val="00BE2541"/>
    <w:rsid w:val="00BF39A8"/>
    <w:rsid w:val="00BF6C15"/>
    <w:rsid w:val="00C0148D"/>
    <w:rsid w:val="00C13B5C"/>
    <w:rsid w:val="00C2185C"/>
    <w:rsid w:val="00C22A12"/>
    <w:rsid w:val="00C23934"/>
    <w:rsid w:val="00C51C00"/>
    <w:rsid w:val="00C52323"/>
    <w:rsid w:val="00C53258"/>
    <w:rsid w:val="00C53600"/>
    <w:rsid w:val="00C5663F"/>
    <w:rsid w:val="00C60085"/>
    <w:rsid w:val="00C66EEE"/>
    <w:rsid w:val="00C70905"/>
    <w:rsid w:val="00C851AF"/>
    <w:rsid w:val="00C863AC"/>
    <w:rsid w:val="00C87E48"/>
    <w:rsid w:val="00C95AED"/>
    <w:rsid w:val="00CA23E4"/>
    <w:rsid w:val="00CA2A2C"/>
    <w:rsid w:val="00CA2BAC"/>
    <w:rsid w:val="00CA6050"/>
    <w:rsid w:val="00CA7EEA"/>
    <w:rsid w:val="00CB506C"/>
    <w:rsid w:val="00CB50F0"/>
    <w:rsid w:val="00CC279E"/>
    <w:rsid w:val="00CC2AC9"/>
    <w:rsid w:val="00CD405D"/>
    <w:rsid w:val="00CD4544"/>
    <w:rsid w:val="00CD4D85"/>
    <w:rsid w:val="00CF5E45"/>
    <w:rsid w:val="00CF64E7"/>
    <w:rsid w:val="00CF6A01"/>
    <w:rsid w:val="00D10E69"/>
    <w:rsid w:val="00D25ADA"/>
    <w:rsid w:val="00D305F3"/>
    <w:rsid w:val="00D32271"/>
    <w:rsid w:val="00D40C54"/>
    <w:rsid w:val="00D532A2"/>
    <w:rsid w:val="00D568C4"/>
    <w:rsid w:val="00D624D2"/>
    <w:rsid w:val="00D733FB"/>
    <w:rsid w:val="00D743DB"/>
    <w:rsid w:val="00D7561F"/>
    <w:rsid w:val="00D8548C"/>
    <w:rsid w:val="00DA190E"/>
    <w:rsid w:val="00DA1EBB"/>
    <w:rsid w:val="00DA4308"/>
    <w:rsid w:val="00DA527C"/>
    <w:rsid w:val="00DB0605"/>
    <w:rsid w:val="00DC181F"/>
    <w:rsid w:val="00DD643F"/>
    <w:rsid w:val="00DD7F34"/>
    <w:rsid w:val="00DE7062"/>
    <w:rsid w:val="00DF0CAD"/>
    <w:rsid w:val="00DF6194"/>
    <w:rsid w:val="00DF6A80"/>
    <w:rsid w:val="00DF6FD4"/>
    <w:rsid w:val="00E020F2"/>
    <w:rsid w:val="00E32246"/>
    <w:rsid w:val="00E328CF"/>
    <w:rsid w:val="00E3695A"/>
    <w:rsid w:val="00E37D39"/>
    <w:rsid w:val="00E60591"/>
    <w:rsid w:val="00E609F7"/>
    <w:rsid w:val="00E62C24"/>
    <w:rsid w:val="00E63062"/>
    <w:rsid w:val="00E6698E"/>
    <w:rsid w:val="00E7384C"/>
    <w:rsid w:val="00E739F9"/>
    <w:rsid w:val="00E81E22"/>
    <w:rsid w:val="00E84FA2"/>
    <w:rsid w:val="00E9329C"/>
    <w:rsid w:val="00EA1050"/>
    <w:rsid w:val="00EA29F1"/>
    <w:rsid w:val="00EA3D9F"/>
    <w:rsid w:val="00EA3FAA"/>
    <w:rsid w:val="00EB29B9"/>
    <w:rsid w:val="00EB5FB5"/>
    <w:rsid w:val="00EC3B3C"/>
    <w:rsid w:val="00EC522E"/>
    <w:rsid w:val="00ED2255"/>
    <w:rsid w:val="00ED2809"/>
    <w:rsid w:val="00ED46E1"/>
    <w:rsid w:val="00EE59A4"/>
    <w:rsid w:val="00EF21D5"/>
    <w:rsid w:val="00F017F9"/>
    <w:rsid w:val="00F01EDA"/>
    <w:rsid w:val="00F05D49"/>
    <w:rsid w:val="00F0795E"/>
    <w:rsid w:val="00F35DFB"/>
    <w:rsid w:val="00F408D5"/>
    <w:rsid w:val="00F44625"/>
    <w:rsid w:val="00F46F89"/>
    <w:rsid w:val="00F50B52"/>
    <w:rsid w:val="00F52258"/>
    <w:rsid w:val="00F5593D"/>
    <w:rsid w:val="00F56802"/>
    <w:rsid w:val="00F61003"/>
    <w:rsid w:val="00F6705A"/>
    <w:rsid w:val="00F70D1F"/>
    <w:rsid w:val="00F808E1"/>
    <w:rsid w:val="00F81E14"/>
    <w:rsid w:val="00F84D19"/>
    <w:rsid w:val="00F95337"/>
    <w:rsid w:val="00FA518F"/>
    <w:rsid w:val="00FA5FA0"/>
    <w:rsid w:val="00FA7816"/>
    <w:rsid w:val="00FB0FE2"/>
    <w:rsid w:val="00FB3831"/>
    <w:rsid w:val="00FB454B"/>
    <w:rsid w:val="00FB67F7"/>
    <w:rsid w:val="00FC511F"/>
    <w:rsid w:val="00FC54F1"/>
    <w:rsid w:val="00FD733E"/>
    <w:rsid w:val="00FD7AFC"/>
    <w:rsid w:val="00FE33CE"/>
    <w:rsid w:val="00FE4E56"/>
    <w:rsid w:val="00FE5687"/>
    <w:rsid w:val="00FE6940"/>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71525406">
      <w:bodyDiv w:val="1"/>
      <w:marLeft w:val="0"/>
      <w:marRight w:val="0"/>
      <w:marTop w:val="0"/>
      <w:marBottom w:val="0"/>
      <w:divBdr>
        <w:top w:val="none" w:sz="0" w:space="0" w:color="auto"/>
        <w:left w:val="none" w:sz="0" w:space="0" w:color="auto"/>
        <w:bottom w:val="none" w:sz="0" w:space="0" w:color="auto"/>
        <w:right w:val="none" w:sz="0" w:space="0" w:color="auto"/>
      </w:divBdr>
      <w:divsChild>
        <w:div w:id="1515341627">
          <w:marLeft w:val="274"/>
          <w:marRight w:val="0"/>
          <w:marTop w:val="0"/>
          <w:marBottom w:val="0"/>
          <w:divBdr>
            <w:top w:val="none" w:sz="0" w:space="0" w:color="auto"/>
            <w:left w:val="none" w:sz="0" w:space="0" w:color="auto"/>
            <w:bottom w:val="none" w:sz="0" w:space="0" w:color="auto"/>
            <w:right w:val="none" w:sz="0" w:space="0" w:color="auto"/>
          </w:divBdr>
        </w:div>
        <w:div w:id="1180043693">
          <w:marLeft w:val="274"/>
          <w:marRight w:val="0"/>
          <w:marTop w:val="0"/>
          <w:marBottom w:val="0"/>
          <w:divBdr>
            <w:top w:val="none" w:sz="0" w:space="0" w:color="auto"/>
            <w:left w:val="none" w:sz="0" w:space="0" w:color="auto"/>
            <w:bottom w:val="none" w:sz="0" w:space="0" w:color="auto"/>
            <w:right w:val="none" w:sz="0" w:space="0" w:color="auto"/>
          </w:divBdr>
        </w:div>
        <w:div w:id="246228849">
          <w:marLeft w:val="274"/>
          <w:marRight w:val="0"/>
          <w:marTop w:val="0"/>
          <w:marBottom w:val="0"/>
          <w:divBdr>
            <w:top w:val="none" w:sz="0" w:space="0" w:color="auto"/>
            <w:left w:val="none" w:sz="0" w:space="0" w:color="auto"/>
            <w:bottom w:val="none" w:sz="0" w:space="0" w:color="auto"/>
            <w:right w:val="none" w:sz="0" w:space="0" w:color="auto"/>
          </w:divBdr>
        </w:div>
        <w:div w:id="944112562">
          <w:marLeft w:val="274"/>
          <w:marRight w:val="0"/>
          <w:marTop w:val="0"/>
          <w:marBottom w:val="0"/>
          <w:divBdr>
            <w:top w:val="none" w:sz="0" w:space="0" w:color="auto"/>
            <w:left w:val="none" w:sz="0" w:space="0" w:color="auto"/>
            <w:bottom w:val="none" w:sz="0" w:space="0" w:color="auto"/>
            <w:right w:val="none" w:sz="0" w:space="0" w:color="auto"/>
          </w:divBdr>
        </w:div>
        <w:div w:id="1332759848">
          <w:marLeft w:val="274"/>
          <w:marRight w:val="0"/>
          <w:marTop w:val="0"/>
          <w:marBottom w:val="0"/>
          <w:divBdr>
            <w:top w:val="none" w:sz="0" w:space="0" w:color="auto"/>
            <w:left w:val="none" w:sz="0" w:space="0" w:color="auto"/>
            <w:bottom w:val="none" w:sz="0" w:space="0" w:color="auto"/>
            <w:right w:val="none" w:sz="0" w:space="0" w:color="auto"/>
          </w:divBdr>
        </w:div>
        <w:div w:id="1946647756">
          <w:marLeft w:val="274"/>
          <w:marRight w:val="0"/>
          <w:marTop w:val="0"/>
          <w:marBottom w:val="0"/>
          <w:divBdr>
            <w:top w:val="none" w:sz="0" w:space="0" w:color="auto"/>
            <w:left w:val="none" w:sz="0" w:space="0" w:color="auto"/>
            <w:bottom w:val="none" w:sz="0" w:space="0" w:color="auto"/>
            <w:right w:val="none" w:sz="0" w:space="0" w:color="auto"/>
          </w:divBdr>
        </w:div>
        <w:div w:id="988170509">
          <w:marLeft w:val="274"/>
          <w:marRight w:val="0"/>
          <w:marTop w:val="0"/>
          <w:marBottom w:val="0"/>
          <w:divBdr>
            <w:top w:val="none" w:sz="0" w:space="0" w:color="auto"/>
            <w:left w:val="none" w:sz="0" w:space="0" w:color="auto"/>
            <w:bottom w:val="none" w:sz="0" w:space="0" w:color="auto"/>
            <w:right w:val="none" w:sz="0" w:space="0" w:color="auto"/>
          </w:divBdr>
        </w:div>
        <w:div w:id="1010176827">
          <w:marLeft w:val="274"/>
          <w:marRight w:val="0"/>
          <w:marTop w:val="0"/>
          <w:marBottom w:val="0"/>
          <w:divBdr>
            <w:top w:val="none" w:sz="0" w:space="0" w:color="auto"/>
            <w:left w:val="none" w:sz="0" w:space="0" w:color="auto"/>
            <w:bottom w:val="none" w:sz="0" w:space="0" w:color="auto"/>
            <w:right w:val="none" w:sz="0" w:space="0" w:color="auto"/>
          </w:divBdr>
        </w:div>
        <w:div w:id="167646878">
          <w:marLeft w:val="274"/>
          <w:marRight w:val="0"/>
          <w:marTop w:val="0"/>
          <w:marBottom w:val="0"/>
          <w:divBdr>
            <w:top w:val="none" w:sz="0" w:space="0" w:color="auto"/>
            <w:left w:val="none" w:sz="0" w:space="0" w:color="auto"/>
            <w:bottom w:val="none" w:sz="0" w:space="0" w:color="auto"/>
            <w:right w:val="none" w:sz="0" w:space="0" w:color="auto"/>
          </w:divBdr>
        </w:div>
        <w:div w:id="1880899788">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educator-workforce-strate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canceranddiagnostics.se@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https://www.england.nhs.uk/publication/nhs-long-term-workforce-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educator-workforce-strateg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7359D9B9-57BF-4C02-8DC4-20D05071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b825f3b1-0e88-46e5-8be6-2e66319fe22b"/>
    <ds:schemaRef ds:uri="http://purl.org/dc/dcmitype/"/>
    <ds:schemaRef ds:uri="http://schemas.microsoft.com/office/2006/documentManagement/types"/>
    <ds:schemaRef ds:uri="http://schemas.microsoft.com/office/infopath/2007/PartnerControls"/>
    <ds:schemaRef ds:uri="7f306fc3-3c3d-4d13-97f5-42cd1ad5d06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ODONNELL, Siobhan (NHS ENGLAND - T1510)</cp:lastModifiedBy>
  <cp:revision>2</cp:revision>
  <cp:lastPrinted>2021-01-11T11:40:00Z</cp:lastPrinted>
  <dcterms:created xsi:type="dcterms:W3CDTF">2024-03-04T09:49:00Z</dcterms:created>
  <dcterms:modified xsi:type="dcterms:W3CDTF">2024-03-04T09:49:00Z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