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2182F99" w:rsidR="00933394" w:rsidRDefault="00933394" w:rsidP="001F54D9">
      <w:pPr>
        <w:jc w:val="right"/>
      </w:pPr>
    </w:p>
    <w:p w14:paraId="55CC7080" w14:textId="43714F0E" w:rsidR="00107CF7" w:rsidRPr="00C5663F" w:rsidRDefault="005B2AA5" w:rsidP="00317F85">
      <w:pPr>
        <w:pStyle w:val="Heading1"/>
        <w:rPr>
          <w:color w:val="005EB8"/>
          <w:sz w:val="36"/>
          <w:szCs w:val="36"/>
        </w:rPr>
      </w:pPr>
      <w:bookmarkStart w:id="0" w:name="Title"/>
      <w:proofErr w:type="gramStart"/>
      <w:r w:rsidRPr="00C5663F">
        <w:rPr>
          <w:color w:val="005EB8"/>
          <w:sz w:val="36"/>
          <w:szCs w:val="36"/>
        </w:rPr>
        <w:t>South East</w:t>
      </w:r>
      <w:proofErr w:type="gramEnd"/>
      <w:r w:rsidRPr="00C5663F">
        <w:rPr>
          <w:color w:val="005EB8"/>
          <w:sz w:val="36"/>
          <w:szCs w:val="36"/>
        </w:rPr>
        <w:t xml:space="preserve">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FF559F">
        <w:rPr>
          <w:color w:val="005EB8"/>
          <w:sz w:val="36"/>
          <w:szCs w:val="36"/>
        </w:rPr>
        <w:t xml:space="preserve">Physiological Science </w:t>
      </w:r>
      <w:r w:rsidR="00971F2C">
        <w:rPr>
          <w:color w:val="005EB8"/>
          <w:sz w:val="36"/>
          <w:szCs w:val="36"/>
        </w:rPr>
        <w:t xml:space="preserve">Practice Education </w:t>
      </w:r>
      <w:r w:rsidRPr="00C5663F">
        <w:rPr>
          <w:color w:val="005EB8"/>
          <w:sz w:val="36"/>
          <w:szCs w:val="36"/>
        </w:rPr>
        <w:t xml:space="preserve">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2D9D6715" w14:textId="3393650B" w:rsidR="0036112F" w:rsidRDefault="001B2A57" w:rsidP="00107CF7">
      <w:pPr>
        <w:rPr>
          <w:rStyle w:val="Hyperlink"/>
          <w:rFonts w:asciiTheme="minorHAnsi" w:hAnsiTheme="minorHAnsi" w:cstheme="minorHAnsi"/>
          <w:bCs/>
        </w:rPr>
      </w:pPr>
      <w:r>
        <w:rPr>
          <w:noProof/>
        </w:rPr>
        <mc:AlternateContent>
          <mc:Choice Requires="wps">
            <w:drawing>
              <wp:anchor distT="0" distB="0" distL="114300" distR="114300" simplePos="0" relativeHeight="251658240" behindDoc="0" locked="0" layoutInCell="1" allowOverlap="1" wp14:anchorId="0694FA83" wp14:editId="5D479BA7">
                <wp:simplePos x="0" y="0"/>
                <wp:positionH relativeFrom="margin">
                  <wp:align>left</wp:align>
                </wp:positionH>
                <wp:positionV relativeFrom="paragraph">
                  <wp:posOffset>538176</wp:posOffset>
                </wp:positionV>
                <wp:extent cx="6461760" cy="6615486"/>
                <wp:effectExtent l="0" t="0" r="15240" b="13970"/>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615486"/>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Pr="00AC0A8C" w:rsidRDefault="00F95337" w:rsidP="0036112F">
                            <w:pPr>
                              <w:rPr>
                                <w:b/>
                                <w:bCs/>
                                <w:color w:val="00A9CE"/>
                                <w:sz w:val="18"/>
                                <w:szCs w:val="18"/>
                              </w:rPr>
                            </w:pPr>
                          </w:p>
                          <w:p w14:paraId="55A9311A" w14:textId="226473C6"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F559F">
                              <w:rPr>
                                <w:sz w:val="24"/>
                                <w:szCs w:val="24"/>
                              </w:rPr>
                              <w:t>Physiological Science</w:t>
                            </w:r>
                            <w:r w:rsidR="00FD7AFC" w:rsidRPr="001B2A57">
                              <w:rPr>
                                <w:sz w:val="24"/>
                                <w:szCs w:val="24"/>
                              </w:rPr>
                              <w:t xml:space="preserve"> </w:t>
                            </w:r>
                            <w:r w:rsidR="00971F2C">
                              <w:rPr>
                                <w:sz w:val="24"/>
                                <w:szCs w:val="24"/>
                              </w:rPr>
                              <w:t>Practice Education</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39EB578E" w14:textId="3C47789E" w:rsidR="00914F4D" w:rsidRPr="00914F4D" w:rsidRDefault="00C95AED" w:rsidP="009D4078">
                            <w:pPr>
                              <w:rPr>
                                <w:rFonts w:cs="Arial"/>
                                <w:color w:val="1C1C1C"/>
                                <w:sz w:val="23"/>
                                <w:szCs w:val="23"/>
                                <w:lang w:val="en-US"/>
                              </w:rPr>
                            </w:pPr>
                            <w:r w:rsidRPr="00BF39A8">
                              <w:rPr>
                                <w:sz w:val="23"/>
                                <w:szCs w:val="23"/>
                              </w:rPr>
                              <w:t xml:space="preserve">This document details </w:t>
                            </w:r>
                            <w:r w:rsidR="00914F4D">
                              <w:rPr>
                                <w:sz w:val="23"/>
                                <w:szCs w:val="23"/>
                              </w:rPr>
                              <w:t xml:space="preserve">a </w:t>
                            </w:r>
                            <w:r w:rsidRPr="00BF39A8">
                              <w:rPr>
                                <w:sz w:val="23"/>
                                <w:szCs w:val="23"/>
                              </w:rPr>
                              <w:t xml:space="preserve">2024/25 offer for </w:t>
                            </w:r>
                            <w:r w:rsidR="00FF559F">
                              <w:rPr>
                                <w:sz w:val="23"/>
                                <w:szCs w:val="23"/>
                              </w:rPr>
                              <w:t>Physiological Science</w:t>
                            </w:r>
                            <w:r w:rsidR="00FD7AFC" w:rsidRPr="00BF39A8">
                              <w:rPr>
                                <w:rFonts w:cs="Arial"/>
                                <w:sz w:val="23"/>
                                <w:szCs w:val="23"/>
                                <w:lang w:val="en-US"/>
                              </w:rPr>
                              <w:t xml:space="preserve"> </w:t>
                            </w:r>
                            <w:r w:rsidR="00971F2C">
                              <w:rPr>
                                <w:rFonts w:cs="Arial"/>
                                <w:sz w:val="23"/>
                                <w:szCs w:val="23"/>
                                <w:lang w:val="en-US"/>
                              </w:rPr>
                              <w:t>Practice Education</w:t>
                            </w:r>
                            <w:r w:rsidR="00FD7AFC" w:rsidRPr="00BF39A8">
                              <w:rPr>
                                <w:rFonts w:cs="Arial"/>
                                <w:sz w:val="23"/>
                                <w:szCs w:val="23"/>
                                <w:lang w:val="en-US"/>
                              </w:rPr>
                              <w:t xml:space="preserve"> </w:t>
                            </w:r>
                            <w:r w:rsidR="00FF559F">
                              <w:rPr>
                                <w:rFonts w:cs="Arial"/>
                                <w:sz w:val="23"/>
                                <w:szCs w:val="23"/>
                                <w:lang w:val="en-US"/>
                              </w:rPr>
                              <w:t>funding</w:t>
                            </w:r>
                            <w:r w:rsidR="00914F4D">
                              <w:rPr>
                                <w:rFonts w:cs="Arial"/>
                                <w:color w:val="1C1C1C"/>
                                <w:sz w:val="23"/>
                                <w:szCs w:val="23"/>
                                <w:lang w:val="en-US"/>
                              </w:rPr>
                              <w:t xml:space="preserve"> to support departments. </w:t>
                            </w:r>
                            <w:r w:rsidR="00914F4D" w:rsidRPr="00D016E2">
                              <w:rPr>
                                <w:rFonts w:cs="Arial"/>
                                <w:b/>
                                <w:bCs/>
                                <w:color w:val="1C1C1C"/>
                                <w:sz w:val="23"/>
                                <w:szCs w:val="23"/>
                                <w:lang w:val="en-US"/>
                              </w:rPr>
                              <w:t xml:space="preserve">Separate discussions are taking place regarding continuation of existing practice educators </w:t>
                            </w:r>
                            <w:r w:rsidR="00183BA7" w:rsidRPr="00D016E2">
                              <w:rPr>
                                <w:rFonts w:cs="Arial"/>
                                <w:b/>
                                <w:bCs/>
                                <w:color w:val="1C1C1C"/>
                                <w:sz w:val="23"/>
                                <w:szCs w:val="23"/>
                                <w:lang w:val="en-US"/>
                              </w:rPr>
                              <w:t xml:space="preserve">who are </w:t>
                            </w:r>
                            <w:r w:rsidR="00914F4D" w:rsidRPr="00D016E2">
                              <w:rPr>
                                <w:rFonts w:cs="Arial"/>
                                <w:b/>
                                <w:bCs/>
                                <w:color w:val="1C1C1C"/>
                                <w:sz w:val="23"/>
                                <w:szCs w:val="23"/>
                                <w:lang w:val="en-US"/>
                              </w:rPr>
                              <w:t xml:space="preserve">working directly with NHSE in specific areas and </w:t>
                            </w:r>
                            <w:r w:rsidR="00D016E2" w:rsidRPr="00D016E2">
                              <w:rPr>
                                <w:rFonts w:cs="Arial"/>
                                <w:b/>
                                <w:bCs/>
                                <w:color w:val="1C1C1C"/>
                                <w:sz w:val="23"/>
                                <w:szCs w:val="23"/>
                                <w:lang w:val="en-US"/>
                              </w:rPr>
                              <w:t xml:space="preserve">those roles </w:t>
                            </w:r>
                            <w:r w:rsidR="002C2FE4" w:rsidRPr="00D016E2">
                              <w:rPr>
                                <w:rFonts w:cs="Arial"/>
                                <w:b/>
                                <w:bCs/>
                                <w:color w:val="1C1C1C"/>
                                <w:sz w:val="23"/>
                                <w:szCs w:val="23"/>
                                <w:lang w:val="en-US"/>
                              </w:rPr>
                              <w:t xml:space="preserve">are </w:t>
                            </w:r>
                            <w:r w:rsidR="00914F4D" w:rsidRPr="00D016E2">
                              <w:rPr>
                                <w:rFonts w:cs="Arial"/>
                                <w:b/>
                                <w:bCs/>
                                <w:color w:val="1C1C1C"/>
                                <w:sz w:val="23"/>
                                <w:szCs w:val="23"/>
                                <w:lang w:val="en-US"/>
                              </w:rPr>
                              <w:t>not included within this guidance</w:t>
                            </w:r>
                            <w:r w:rsidR="001A6AEA">
                              <w:rPr>
                                <w:rFonts w:cs="Arial"/>
                                <w:b/>
                                <w:bCs/>
                                <w:color w:val="1C1C1C"/>
                                <w:sz w:val="23"/>
                                <w:szCs w:val="23"/>
                                <w:lang w:val="en-US"/>
                              </w:rPr>
                              <w:t xml:space="preserve"> or funding offer</w:t>
                            </w:r>
                            <w:r w:rsidR="00D016E2">
                              <w:rPr>
                                <w:rFonts w:cs="Arial"/>
                                <w:b/>
                                <w:bCs/>
                                <w:color w:val="1C1C1C"/>
                                <w:sz w:val="23"/>
                                <w:szCs w:val="23"/>
                                <w:lang w:val="en-US"/>
                              </w:rPr>
                              <w:t>.</w:t>
                            </w:r>
                          </w:p>
                          <w:p w14:paraId="7D9D41C3" w14:textId="77777777" w:rsidR="0036112F" w:rsidRPr="00BF39A8" w:rsidRDefault="0036112F" w:rsidP="0036112F">
                            <w:pPr>
                              <w:rPr>
                                <w:rFonts w:cs="Arial"/>
                                <w:sz w:val="23"/>
                                <w:szCs w:val="23"/>
                              </w:rPr>
                            </w:pPr>
                          </w:p>
                          <w:p w14:paraId="5D72A9DE" w14:textId="20835988" w:rsidR="005036BF" w:rsidRDefault="0036112F" w:rsidP="0036112F">
                            <w:pPr>
                              <w:rPr>
                                <w:rFonts w:cs="Arial"/>
                                <w:color w:val="1C1C1C"/>
                                <w:sz w:val="23"/>
                                <w:szCs w:val="23"/>
                                <w:lang w:val="en-US"/>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FF559F">
                              <w:rPr>
                                <w:rFonts w:cs="Arial"/>
                                <w:color w:val="1C1C1C"/>
                                <w:sz w:val="23"/>
                                <w:szCs w:val="23"/>
                                <w:lang w:val="en-US"/>
                              </w:rPr>
                              <w:t>physiological science</w:t>
                            </w:r>
                            <w:r w:rsidR="001B2A57" w:rsidRPr="00BF39A8">
                              <w:rPr>
                                <w:rFonts w:cs="Arial"/>
                                <w:color w:val="1C1C1C"/>
                                <w:sz w:val="23"/>
                                <w:szCs w:val="23"/>
                                <w:lang w:val="en-US"/>
                              </w:rPr>
                              <w:t xml:space="preserve"> workforce</w:t>
                            </w:r>
                            <w:r w:rsidR="00971F2C">
                              <w:rPr>
                                <w:rFonts w:cs="Arial"/>
                                <w:color w:val="1C1C1C"/>
                                <w:sz w:val="23"/>
                                <w:szCs w:val="23"/>
                                <w:lang w:val="en-US"/>
                              </w:rPr>
                              <w:t xml:space="preserve">, providing </w:t>
                            </w:r>
                            <w:r w:rsidR="00971F2C" w:rsidRPr="00971F2C">
                              <w:rPr>
                                <w:rFonts w:cs="Arial"/>
                                <w:color w:val="1C1C1C"/>
                                <w:sz w:val="23"/>
                                <w:szCs w:val="23"/>
                                <w:lang w:val="en-US"/>
                              </w:rPr>
                              <w:t xml:space="preserve">support and clinical education to staff and student learners to improve their professional practice alongside academic colleagues. </w:t>
                            </w:r>
                          </w:p>
                          <w:p w14:paraId="6F70CBF8" w14:textId="77777777" w:rsidR="005036BF" w:rsidRDefault="005036BF" w:rsidP="0036112F">
                            <w:pPr>
                              <w:rPr>
                                <w:rFonts w:cs="Arial"/>
                                <w:color w:val="1C1C1C"/>
                                <w:sz w:val="23"/>
                                <w:szCs w:val="23"/>
                                <w:lang w:val="en-US"/>
                              </w:rPr>
                            </w:pPr>
                          </w:p>
                          <w:p w14:paraId="0C73BFB0" w14:textId="4CF63046" w:rsidR="0036112F" w:rsidRPr="005036BF" w:rsidRDefault="005036BF" w:rsidP="0036112F">
                            <w:pPr>
                              <w:rPr>
                                <w:rFonts w:cs="Arial"/>
                                <w:color w:val="1C1C1C"/>
                                <w:sz w:val="23"/>
                                <w:szCs w:val="23"/>
                                <w:lang w:val="en-US"/>
                              </w:rPr>
                            </w:pPr>
                            <w:r w:rsidRPr="00B97FE0">
                              <w:rPr>
                                <w:rFonts w:cs="Arial"/>
                                <w:color w:val="1C1C1C"/>
                                <w:sz w:val="23"/>
                                <w:szCs w:val="23"/>
                                <w:lang w:val="en-US"/>
                              </w:rPr>
                              <w:t xml:space="preserve">The funding offer is designed to afford flexibility in supporting local workforce plans and aims to enable and facilitate the integration of education and training activities within efficient service delivery. </w:t>
                            </w:r>
                            <w:r w:rsidR="0036112F" w:rsidRPr="00BF39A8">
                              <w:rPr>
                                <w:rFonts w:cs="Arial"/>
                                <w:sz w:val="23"/>
                                <w:szCs w:val="23"/>
                                <w:lang w:val="en-US"/>
                              </w:rPr>
                              <w:t>T</w:t>
                            </w:r>
                            <w:r w:rsidR="0036112F" w:rsidRPr="00BF39A8">
                              <w:rPr>
                                <w:rFonts w:cs="Arial"/>
                                <w:color w:val="1C1C1C"/>
                                <w:sz w:val="23"/>
                                <w:szCs w:val="23"/>
                                <w:lang w:val="en-US"/>
                              </w:rPr>
                              <w:t>o further support this, there will be an impact of investment analysis within 2</w:t>
                            </w:r>
                            <w:r w:rsidR="004B341D" w:rsidRPr="00BF39A8">
                              <w:rPr>
                                <w:rFonts w:cs="Arial"/>
                                <w:color w:val="1C1C1C"/>
                                <w:sz w:val="23"/>
                                <w:szCs w:val="23"/>
                                <w:lang w:val="en-US"/>
                              </w:rPr>
                              <w:t>02</w:t>
                            </w:r>
                            <w:r w:rsidR="0036112F" w:rsidRPr="00BF39A8">
                              <w:rPr>
                                <w:rFonts w:cs="Arial"/>
                                <w:color w:val="1C1C1C"/>
                                <w:sz w:val="23"/>
                                <w:szCs w:val="23"/>
                                <w:lang w:val="en-US"/>
                              </w:rPr>
                              <w:t>4/25</w:t>
                            </w:r>
                            <w:r w:rsidR="004B341D" w:rsidRPr="00BF39A8">
                              <w:rPr>
                                <w:rFonts w:cs="Arial"/>
                                <w:color w:val="1C1C1C"/>
                                <w:sz w:val="23"/>
                                <w:szCs w:val="23"/>
                                <w:lang w:val="en-US"/>
                              </w:rPr>
                              <w:t xml:space="preserve"> and 2025/26</w:t>
                            </w:r>
                            <w:r w:rsidR="00FB454B" w:rsidRPr="00BF39A8">
                              <w:rPr>
                                <w:rFonts w:cs="Arial"/>
                                <w:color w:val="1C1C1C"/>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319D0436" w14:textId="2F79C188" w:rsidR="00FF559F" w:rsidRDefault="00971F2C" w:rsidP="00F65D85">
                            <w:pPr>
                              <w:pStyle w:val="ListParagraph"/>
                              <w:numPr>
                                <w:ilvl w:val="0"/>
                                <w:numId w:val="15"/>
                              </w:numPr>
                              <w:rPr>
                                <w:rFonts w:cs="Arial"/>
                                <w:color w:val="1C1C1C"/>
                                <w:sz w:val="23"/>
                                <w:szCs w:val="23"/>
                              </w:rPr>
                            </w:pPr>
                            <w:r w:rsidRPr="00FF559F">
                              <w:rPr>
                                <w:rFonts w:cs="Arial"/>
                                <w:color w:val="1C1C1C"/>
                                <w:sz w:val="23"/>
                                <w:szCs w:val="23"/>
                              </w:rPr>
                              <w:t>Is to support Practice Educator</w:t>
                            </w:r>
                            <w:r w:rsidR="00FF559F" w:rsidRPr="00FF559F">
                              <w:rPr>
                                <w:rFonts w:cs="Arial"/>
                                <w:color w:val="1C1C1C"/>
                                <w:sz w:val="23"/>
                                <w:szCs w:val="23"/>
                              </w:rPr>
                              <w:t xml:space="preserve"> roles </w:t>
                            </w:r>
                            <w:r w:rsidR="00E3551C">
                              <w:rPr>
                                <w:rFonts w:cs="Arial"/>
                                <w:color w:val="1C1C1C"/>
                                <w:sz w:val="23"/>
                                <w:szCs w:val="23"/>
                              </w:rPr>
                              <w:t xml:space="preserve">(salary and upskilling) </w:t>
                            </w:r>
                            <w:r w:rsidR="00FF559F" w:rsidRPr="00FF559F">
                              <w:rPr>
                                <w:rFonts w:cs="Arial"/>
                                <w:color w:val="1C1C1C"/>
                                <w:sz w:val="23"/>
                                <w:szCs w:val="23"/>
                              </w:rPr>
                              <w:t xml:space="preserve">across physiological sciences, with a priority area of echocardiography but with flexibility </w:t>
                            </w:r>
                            <w:r w:rsidR="00727597">
                              <w:rPr>
                                <w:rFonts w:cs="Arial"/>
                                <w:color w:val="1C1C1C"/>
                                <w:sz w:val="23"/>
                                <w:szCs w:val="23"/>
                              </w:rPr>
                              <w:t>for</w:t>
                            </w:r>
                            <w:r w:rsidR="00727597" w:rsidRPr="00FF559F">
                              <w:rPr>
                                <w:rFonts w:cs="Arial"/>
                                <w:color w:val="1C1C1C"/>
                                <w:sz w:val="23"/>
                                <w:szCs w:val="23"/>
                              </w:rPr>
                              <w:t xml:space="preserve"> </w:t>
                            </w:r>
                            <w:r w:rsidR="00FF559F" w:rsidRPr="00FF559F">
                              <w:rPr>
                                <w:rFonts w:cs="Arial"/>
                                <w:color w:val="1C1C1C"/>
                                <w:sz w:val="23"/>
                                <w:szCs w:val="23"/>
                              </w:rPr>
                              <w:t xml:space="preserve">other areas </w:t>
                            </w:r>
                            <w:r w:rsidR="00727597">
                              <w:rPr>
                                <w:rFonts w:cs="Arial"/>
                                <w:color w:val="1C1C1C"/>
                                <w:sz w:val="23"/>
                                <w:szCs w:val="23"/>
                              </w:rPr>
                              <w:t xml:space="preserve">which </w:t>
                            </w:r>
                            <w:r w:rsidR="00FF559F">
                              <w:rPr>
                                <w:rFonts w:cs="Arial"/>
                                <w:color w:val="1C1C1C"/>
                                <w:sz w:val="23"/>
                                <w:szCs w:val="23"/>
                              </w:rPr>
                              <w:t xml:space="preserve">may include </w:t>
                            </w:r>
                            <w:r w:rsidR="00FF559F" w:rsidRPr="00FF559F">
                              <w:rPr>
                                <w:rFonts w:cs="Arial"/>
                                <w:color w:val="1C1C1C"/>
                                <w:sz w:val="23"/>
                                <w:szCs w:val="23"/>
                              </w:rPr>
                              <w:t>Cardiac and Respiratory, Sleep, Neuro Physiology, Audio</w:t>
                            </w:r>
                            <w:r w:rsidR="00FF559F">
                              <w:rPr>
                                <w:rFonts w:cs="Arial"/>
                                <w:color w:val="1C1C1C"/>
                                <w:sz w:val="23"/>
                                <w:szCs w:val="23"/>
                              </w:rPr>
                              <w:t>logy</w:t>
                            </w:r>
                            <w:r w:rsidR="00FF559F" w:rsidRPr="00FF559F">
                              <w:rPr>
                                <w:rFonts w:cs="Arial"/>
                                <w:color w:val="1C1C1C"/>
                                <w:sz w:val="23"/>
                                <w:szCs w:val="23"/>
                              </w:rPr>
                              <w:t xml:space="preserve"> and </w:t>
                            </w:r>
                            <w:r w:rsidR="00FF559F">
                              <w:rPr>
                                <w:rFonts w:cs="Arial"/>
                                <w:color w:val="1C1C1C"/>
                                <w:sz w:val="23"/>
                                <w:szCs w:val="23"/>
                              </w:rPr>
                              <w:t>V</w:t>
                            </w:r>
                            <w:r w:rsidR="00FF559F" w:rsidRPr="00FF559F">
                              <w:rPr>
                                <w:rFonts w:cs="Arial"/>
                                <w:color w:val="1C1C1C"/>
                                <w:sz w:val="23"/>
                                <w:szCs w:val="23"/>
                              </w:rPr>
                              <w:t>ascular</w:t>
                            </w:r>
                          </w:p>
                          <w:p w14:paraId="17325751" w14:textId="048C365A" w:rsidR="00DC5B87" w:rsidRPr="00B97FE0" w:rsidRDefault="00DC5B87" w:rsidP="00DC5B87">
                            <w:pPr>
                              <w:pStyle w:val="ListParagraph"/>
                              <w:numPr>
                                <w:ilvl w:val="0"/>
                                <w:numId w:val="15"/>
                              </w:numPr>
                              <w:rPr>
                                <w:rFonts w:cs="Arial"/>
                                <w:color w:val="1C1C1C"/>
                                <w:sz w:val="23"/>
                                <w:szCs w:val="23"/>
                              </w:rPr>
                            </w:pPr>
                            <w:r>
                              <w:rPr>
                                <w:rFonts w:cs="Arial"/>
                                <w:color w:val="1C1C1C"/>
                                <w:sz w:val="23"/>
                                <w:szCs w:val="23"/>
                              </w:rPr>
                              <w:t>C</w:t>
                            </w:r>
                            <w:r w:rsidRPr="00B97FE0">
                              <w:rPr>
                                <w:rFonts w:cs="Arial"/>
                                <w:color w:val="1C1C1C"/>
                                <w:sz w:val="23"/>
                                <w:szCs w:val="23"/>
                              </w:rPr>
                              <w:t xml:space="preserve">an be used to develop new ways to support learners, including alternative models of delivery, focused pastoral support, and coaching and mentoring. </w:t>
                            </w:r>
                          </w:p>
                          <w:p w14:paraId="27D2F7D2" w14:textId="77777777" w:rsidR="0061221F" w:rsidRPr="00BF39A8" w:rsidRDefault="0061221F" w:rsidP="0036112F">
                            <w:pPr>
                              <w:rPr>
                                <w:rFonts w:cs="Arial"/>
                                <w:b/>
                                <w:bCs/>
                                <w:color w:val="0070C0"/>
                                <w:sz w:val="23"/>
                                <w:szCs w:val="23"/>
                                <w:highlight w:val="yellow"/>
                                <w:lang w:val="en-US"/>
                              </w:rPr>
                            </w:pPr>
                          </w:p>
                          <w:p w14:paraId="6A98260A" w14:textId="77777777" w:rsidR="00FF559F" w:rsidRPr="00BF39A8" w:rsidRDefault="00FF559F" w:rsidP="00FF559F">
                            <w:pPr>
                              <w:rPr>
                                <w:rFonts w:cs="Arial"/>
                                <w:b/>
                                <w:bCs/>
                                <w:color w:val="1C1C1C"/>
                                <w:sz w:val="23"/>
                                <w:szCs w:val="23"/>
                              </w:rPr>
                            </w:pPr>
                            <w:r w:rsidRPr="00BF39A8">
                              <w:rPr>
                                <w:rFonts w:cs="Arial"/>
                                <w:b/>
                                <w:bCs/>
                                <w:color w:val="1C1C1C"/>
                                <w:sz w:val="23"/>
                                <w:szCs w:val="23"/>
                              </w:rPr>
                              <w:t>Deadline for funding applications</w:t>
                            </w:r>
                          </w:p>
                          <w:p w14:paraId="69F8497D" w14:textId="162F4356" w:rsidR="00FF559F" w:rsidRPr="00BF39A8" w:rsidRDefault="00FF559F" w:rsidP="00FF559F">
                            <w:pPr>
                              <w:pStyle w:val="ListParagraph"/>
                              <w:numPr>
                                <w:ilvl w:val="0"/>
                                <w:numId w:val="2"/>
                              </w:numPr>
                              <w:rPr>
                                <w:rFonts w:cs="Arial"/>
                                <w:color w:val="1C1C1C"/>
                                <w:sz w:val="23"/>
                                <w:szCs w:val="23"/>
                              </w:rPr>
                            </w:pPr>
                            <w:r w:rsidRPr="00BF39A8">
                              <w:rPr>
                                <w:rFonts w:cs="Arial"/>
                                <w:b/>
                                <w:bCs/>
                                <w:sz w:val="23"/>
                                <w:szCs w:val="23"/>
                              </w:rPr>
                              <w:t xml:space="preserve">The application window will open </w:t>
                            </w:r>
                            <w:r w:rsidR="00075C08">
                              <w:rPr>
                                <w:rFonts w:cs="Arial"/>
                                <w:b/>
                                <w:bCs/>
                                <w:sz w:val="23"/>
                                <w:szCs w:val="23"/>
                              </w:rPr>
                              <w:t xml:space="preserve">in early </w:t>
                            </w:r>
                            <w:r w:rsidRPr="00075C08">
                              <w:rPr>
                                <w:rFonts w:cs="Arial"/>
                                <w:b/>
                                <w:bCs/>
                                <w:sz w:val="23"/>
                                <w:szCs w:val="23"/>
                              </w:rPr>
                              <w:t>March and</w:t>
                            </w:r>
                            <w:r w:rsidRPr="00BF39A8">
                              <w:rPr>
                                <w:rFonts w:cs="Arial"/>
                                <w:b/>
                                <w:bCs/>
                                <w:sz w:val="23"/>
                                <w:szCs w:val="23"/>
                              </w:rPr>
                              <w:t xml:space="preserve"> will close at </w:t>
                            </w:r>
                            <w:r w:rsidRPr="00075C08">
                              <w:rPr>
                                <w:rFonts w:cs="Arial"/>
                                <w:b/>
                                <w:bCs/>
                                <w:color w:val="FF0000"/>
                                <w:sz w:val="23"/>
                                <w:szCs w:val="23"/>
                              </w:rPr>
                              <w:t>9am on Tuesday 2 April 2024</w:t>
                            </w:r>
                            <w:r w:rsidRPr="00075C08">
                              <w:rPr>
                                <w:rFonts w:cs="Arial"/>
                                <w:color w:val="FF0000"/>
                                <w:sz w:val="23"/>
                                <w:szCs w:val="23"/>
                              </w:rPr>
                              <w:t xml:space="preserve"> </w:t>
                            </w:r>
                            <w:r w:rsidRPr="00BF39A8">
                              <w:rPr>
                                <w:rFonts w:cs="Arial"/>
                                <w:color w:val="1C1C1C"/>
                                <w:sz w:val="23"/>
                                <w:szCs w:val="23"/>
                              </w:rPr>
                              <w:t xml:space="preserve">to support funding being transferred in June 2024 via the NHSE Education Contract schedule where possible. </w:t>
                            </w:r>
                          </w:p>
                          <w:p w14:paraId="752823E9" w14:textId="77777777" w:rsidR="00FF559F" w:rsidRPr="00BF39A8" w:rsidRDefault="00FF559F" w:rsidP="00FF559F">
                            <w:pPr>
                              <w:pStyle w:val="ListParagraph"/>
                              <w:numPr>
                                <w:ilvl w:val="0"/>
                                <w:numId w:val="2"/>
                              </w:numPr>
                              <w:rPr>
                                <w:rFonts w:cs="Arial"/>
                                <w:color w:val="1C1C1C"/>
                                <w:sz w:val="23"/>
                                <w:szCs w:val="23"/>
                              </w:rPr>
                            </w:pPr>
                            <w:r w:rsidRPr="00BF39A8">
                              <w:rPr>
                                <w:rFonts w:cs="Arial"/>
                                <w:color w:val="1C1C1C"/>
                                <w:sz w:val="23"/>
                                <w:szCs w:val="23"/>
                              </w:rPr>
                              <w:t xml:space="preserve">It is possible that a second application round will run later in the year, subject to available funding but at this stage we aren’t able to confirm this. </w:t>
                            </w:r>
                          </w:p>
                          <w:p w14:paraId="3551B649" w14:textId="77777777" w:rsidR="001B2A57" w:rsidRPr="00BF39A8" w:rsidRDefault="001B2A57" w:rsidP="001B2A57">
                            <w:pPr>
                              <w:rPr>
                                <w:rFonts w:cs="Arial"/>
                                <w:color w:val="1C1C1C"/>
                                <w:sz w:val="23"/>
                                <w:szCs w:val="23"/>
                              </w:rPr>
                            </w:pPr>
                          </w:p>
                          <w:p w14:paraId="3A28028C" w14:textId="2B0A57DC" w:rsidR="000F74D4" w:rsidRPr="00BF39A8" w:rsidRDefault="000F74D4" w:rsidP="000F74D4">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w:t>
                            </w:r>
                            <w:r w:rsidR="00183BA7">
                              <w:rPr>
                                <w:rFonts w:cs="Arial"/>
                                <w:color w:val="1C1C1C"/>
                                <w:sz w:val="23"/>
                                <w:szCs w:val="23"/>
                              </w:rPr>
                              <w:t>.</w:t>
                            </w:r>
                          </w:p>
                          <w:p w14:paraId="2BF6802A" w14:textId="77777777" w:rsidR="000F74D4" w:rsidRPr="00BF39A8" w:rsidRDefault="000F74D4" w:rsidP="000F74D4">
                            <w:pPr>
                              <w:rPr>
                                <w:sz w:val="23"/>
                                <w:szCs w:val="23"/>
                              </w:rPr>
                            </w:pP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694FA83" id="_x0000_t202" coordsize="21600,21600" o:spt="202" path="m,l,21600r21600,l21600,xe">
                <v:stroke joinstyle="miter"/>
                <v:path gradientshapeok="t" o:connecttype="rect"/>
              </v:shapetype>
              <v:shape id="Text Box 1" o:spid="_x0000_s1026" type="#_x0000_t202" style="position:absolute;margin-left:0;margin-top:42.4pt;width:508.8pt;height:520.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Pr="00AC0A8C" w:rsidRDefault="00F95337" w:rsidP="0036112F">
                      <w:pPr>
                        <w:rPr>
                          <w:b/>
                          <w:bCs/>
                          <w:color w:val="00A9CE"/>
                          <w:sz w:val="18"/>
                          <w:szCs w:val="18"/>
                        </w:rPr>
                      </w:pPr>
                    </w:p>
                    <w:p w14:paraId="55A9311A" w14:textId="226473C6"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F559F">
                        <w:rPr>
                          <w:sz w:val="24"/>
                          <w:szCs w:val="24"/>
                        </w:rPr>
                        <w:t>Physiological Science</w:t>
                      </w:r>
                      <w:r w:rsidR="00FD7AFC" w:rsidRPr="001B2A57">
                        <w:rPr>
                          <w:sz w:val="24"/>
                          <w:szCs w:val="24"/>
                        </w:rPr>
                        <w:t xml:space="preserve"> </w:t>
                      </w:r>
                      <w:r w:rsidR="00971F2C">
                        <w:rPr>
                          <w:sz w:val="24"/>
                          <w:szCs w:val="24"/>
                        </w:rPr>
                        <w:t>Practice Education</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39EB578E" w14:textId="3C47789E" w:rsidR="00914F4D" w:rsidRPr="00914F4D" w:rsidRDefault="00C95AED" w:rsidP="009D4078">
                      <w:pPr>
                        <w:rPr>
                          <w:rFonts w:cs="Arial"/>
                          <w:color w:val="1C1C1C"/>
                          <w:sz w:val="23"/>
                          <w:szCs w:val="23"/>
                          <w:lang w:val="en-US"/>
                        </w:rPr>
                      </w:pPr>
                      <w:r w:rsidRPr="00BF39A8">
                        <w:rPr>
                          <w:sz w:val="23"/>
                          <w:szCs w:val="23"/>
                        </w:rPr>
                        <w:t xml:space="preserve">This document details </w:t>
                      </w:r>
                      <w:r w:rsidR="00914F4D">
                        <w:rPr>
                          <w:sz w:val="23"/>
                          <w:szCs w:val="23"/>
                        </w:rPr>
                        <w:t xml:space="preserve">a </w:t>
                      </w:r>
                      <w:r w:rsidRPr="00BF39A8">
                        <w:rPr>
                          <w:sz w:val="23"/>
                          <w:szCs w:val="23"/>
                        </w:rPr>
                        <w:t xml:space="preserve">2024/25 offer for </w:t>
                      </w:r>
                      <w:r w:rsidR="00FF559F">
                        <w:rPr>
                          <w:sz w:val="23"/>
                          <w:szCs w:val="23"/>
                        </w:rPr>
                        <w:t>Physiological Science</w:t>
                      </w:r>
                      <w:r w:rsidR="00FD7AFC" w:rsidRPr="00BF39A8">
                        <w:rPr>
                          <w:rFonts w:cs="Arial"/>
                          <w:sz w:val="23"/>
                          <w:szCs w:val="23"/>
                          <w:lang w:val="en-US"/>
                        </w:rPr>
                        <w:t xml:space="preserve"> </w:t>
                      </w:r>
                      <w:r w:rsidR="00971F2C">
                        <w:rPr>
                          <w:rFonts w:cs="Arial"/>
                          <w:sz w:val="23"/>
                          <w:szCs w:val="23"/>
                          <w:lang w:val="en-US"/>
                        </w:rPr>
                        <w:t>Practice Education</w:t>
                      </w:r>
                      <w:r w:rsidR="00FD7AFC" w:rsidRPr="00BF39A8">
                        <w:rPr>
                          <w:rFonts w:cs="Arial"/>
                          <w:sz w:val="23"/>
                          <w:szCs w:val="23"/>
                          <w:lang w:val="en-US"/>
                        </w:rPr>
                        <w:t xml:space="preserve"> </w:t>
                      </w:r>
                      <w:r w:rsidR="00FF559F">
                        <w:rPr>
                          <w:rFonts w:cs="Arial"/>
                          <w:sz w:val="23"/>
                          <w:szCs w:val="23"/>
                          <w:lang w:val="en-US"/>
                        </w:rPr>
                        <w:t>funding</w:t>
                      </w:r>
                      <w:r w:rsidR="00914F4D">
                        <w:rPr>
                          <w:rFonts w:cs="Arial"/>
                          <w:color w:val="1C1C1C"/>
                          <w:sz w:val="23"/>
                          <w:szCs w:val="23"/>
                          <w:lang w:val="en-US"/>
                        </w:rPr>
                        <w:t xml:space="preserve"> to support departments. </w:t>
                      </w:r>
                      <w:r w:rsidR="00914F4D" w:rsidRPr="00D016E2">
                        <w:rPr>
                          <w:rFonts w:cs="Arial"/>
                          <w:b/>
                          <w:bCs/>
                          <w:color w:val="1C1C1C"/>
                          <w:sz w:val="23"/>
                          <w:szCs w:val="23"/>
                          <w:lang w:val="en-US"/>
                        </w:rPr>
                        <w:t xml:space="preserve">Separate discussions are taking place regarding continuation of existing practice educators </w:t>
                      </w:r>
                      <w:r w:rsidR="00183BA7" w:rsidRPr="00D016E2">
                        <w:rPr>
                          <w:rFonts w:cs="Arial"/>
                          <w:b/>
                          <w:bCs/>
                          <w:color w:val="1C1C1C"/>
                          <w:sz w:val="23"/>
                          <w:szCs w:val="23"/>
                          <w:lang w:val="en-US"/>
                        </w:rPr>
                        <w:t xml:space="preserve">who are </w:t>
                      </w:r>
                      <w:r w:rsidR="00914F4D" w:rsidRPr="00D016E2">
                        <w:rPr>
                          <w:rFonts w:cs="Arial"/>
                          <w:b/>
                          <w:bCs/>
                          <w:color w:val="1C1C1C"/>
                          <w:sz w:val="23"/>
                          <w:szCs w:val="23"/>
                          <w:lang w:val="en-US"/>
                        </w:rPr>
                        <w:t xml:space="preserve">working directly with NHSE in specific areas and </w:t>
                      </w:r>
                      <w:r w:rsidR="00D016E2" w:rsidRPr="00D016E2">
                        <w:rPr>
                          <w:rFonts w:cs="Arial"/>
                          <w:b/>
                          <w:bCs/>
                          <w:color w:val="1C1C1C"/>
                          <w:sz w:val="23"/>
                          <w:szCs w:val="23"/>
                          <w:lang w:val="en-US"/>
                        </w:rPr>
                        <w:t xml:space="preserve">those roles </w:t>
                      </w:r>
                      <w:r w:rsidR="002C2FE4" w:rsidRPr="00D016E2">
                        <w:rPr>
                          <w:rFonts w:cs="Arial"/>
                          <w:b/>
                          <w:bCs/>
                          <w:color w:val="1C1C1C"/>
                          <w:sz w:val="23"/>
                          <w:szCs w:val="23"/>
                          <w:lang w:val="en-US"/>
                        </w:rPr>
                        <w:t xml:space="preserve">are </w:t>
                      </w:r>
                      <w:r w:rsidR="00914F4D" w:rsidRPr="00D016E2">
                        <w:rPr>
                          <w:rFonts w:cs="Arial"/>
                          <w:b/>
                          <w:bCs/>
                          <w:color w:val="1C1C1C"/>
                          <w:sz w:val="23"/>
                          <w:szCs w:val="23"/>
                          <w:lang w:val="en-US"/>
                        </w:rPr>
                        <w:t>not included within this guidance</w:t>
                      </w:r>
                      <w:r w:rsidR="001A6AEA">
                        <w:rPr>
                          <w:rFonts w:cs="Arial"/>
                          <w:b/>
                          <w:bCs/>
                          <w:color w:val="1C1C1C"/>
                          <w:sz w:val="23"/>
                          <w:szCs w:val="23"/>
                          <w:lang w:val="en-US"/>
                        </w:rPr>
                        <w:t xml:space="preserve"> or funding offer</w:t>
                      </w:r>
                      <w:r w:rsidR="00D016E2">
                        <w:rPr>
                          <w:rFonts w:cs="Arial"/>
                          <w:b/>
                          <w:bCs/>
                          <w:color w:val="1C1C1C"/>
                          <w:sz w:val="23"/>
                          <w:szCs w:val="23"/>
                          <w:lang w:val="en-US"/>
                        </w:rPr>
                        <w:t>.</w:t>
                      </w:r>
                    </w:p>
                    <w:p w14:paraId="7D9D41C3" w14:textId="77777777" w:rsidR="0036112F" w:rsidRPr="00BF39A8" w:rsidRDefault="0036112F" w:rsidP="0036112F">
                      <w:pPr>
                        <w:rPr>
                          <w:rFonts w:cs="Arial"/>
                          <w:sz w:val="23"/>
                          <w:szCs w:val="23"/>
                        </w:rPr>
                      </w:pPr>
                    </w:p>
                    <w:p w14:paraId="5D72A9DE" w14:textId="20835988" w:rsidR="005036BF" w:rsidRDefault="0036112F" w:rsidP="0036112F">
                      <w:pPr>
                        <w:rPr>
                          <w:rFonts w:cs="Arial"/>
                          <w:color w:val="1C1C1C"/>
                          <w:sz w:val="23"/>
                          <w:szCs w:val="23"/>
                          <w:lang w:val="en-US"/>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FF559F">
                        <w:rPr>
                          <w:rFonts w:cs="Arial"/>
                          <w:color w:val="1C1C1C"/>
                          <w:sz w:val="23"/>
                          <w:szCs w:val="23"/>
                          <w:lang w:val="en-US"/>
                        </w:rPr>
                        <w:t>physiological science</w:t>
                      </w:r>
                      <w:r w:rsidR="001B2A57" w:rsidRPr="00BF39A8">
                        <w:rPr>
                          <w:rFonts w:cs="Arial"/>
                          <w:color w:val="1C1C1C"/>
                          <w:sz w:val="23"/>
                          <w:szCs w:val="23"/>
                          <w:lang w:val="en-US"/>
                        </w:rPr>
                        <w:t xml:space="preserve"> workforce</w:t>
                      </w:r>
                      <w:r w:rsidR="00971F2C">
                        <w:rPr>
                          <w:rFonts w:cs="Arial"/>
                          <w:color w:val="1C1C1C"/>
                          <w:sz w:val="23"/>
                          <w:szCs w:val="23"/>
                          <w:lang w:val="en-US"/>
                        </w:rPr>
                        <w:t xml:space="preserve">, providing </w:t>
                      </w:r>
                      <w:r w:rsidR="00971F2C" w:rsidRPr="00971F2C">
                        <w:rPr>
                          <w:rFonts w:cs="Arial"/>
                          <w:color w:val="1C1C1C"/>
                          <w:sz w:val="23"/>
                          <w:szCs w:val="23"/>
                          <w:lang w:val="en-US"/>
                        </w:rPr>
                        <w:t xml:space="preserve">support and clinical education to staff and student learners to improve their professional practice alongside academic colleagues. </w:t>
                      </w:r>
                    </w:p>
                    <w:p w14:paraId="6F70CBF8" w14:textId="77777777" w:rsidR="005036BF" w:rsidRDefault="005036BF" w:rsidP="0036112F">
                      <w:pPr>
                        <w:rPr>
                          <w:rFonts w:cs="Arial"/>
                          <w:color w:val="1C1C1C"/>
                          <w:sz w:val="23"/>
                          <w:szCs w:val="23"/>
                          <w:lang w:val="en-US"/>
                        </w:rPr>
                      </w:pPr>
                    </w:p>
                    <w:p w14:paraId="0C73BFB0" w14:textId="4CF63046" w:rsidR="0036112F" w:rsidRPr="005036BF" w:rsidRDefault="005036BF" w:rsidP="0036112F">
                      <w:pPr>
                        <w:rPr>
                          <w:rFonts w:cs="Arial"/>
                          <w:color w:val="1C1C1C"/>
                          <w:sz w:val="23"/>
                          <w:szCs w:val="23"/>
                          <w:lang w:val="en-US"/>
                        </w:rPr>
                      </w:pPr>
                      <w:r w:rsidRPr="00B97FE0">
                        <w:rPr>
                          <w:rFonts w:cs="Arial"/>
                          <w:color w:val="1C1C1C"/>
                          <w:sz w:val="23"/>
                          <w:szCs w:val="23"/>
                          <w:lang w:val="en-US"/>
                        </w:rPr>
                        <w:t xml:space="preserve">The funding offer is designed to afford flexibility in supporting local workforce plans and aims to enable and facilitate the integration of education and training activities within efficient service delivery. </w:t>
                      </w:r>
                      <w:r w:rsidR="0036112F" w:rsidRPr="00BF39A8">
                        <w:rPr>
                          <w:rFonts w:cs="Arial"/>
                          <w:sz w:val="23"/>
                          <w:szCs w:val="23"/>
                          <w:lang w:val="en-US"/>
                        </w:rPr>
                        <w:t>T</w:t>
                      </w:r>
                      <w:r w:rsidR="0036112F" w:rsidRPr="00BF39A8">
                        <w:rPr>
                          <w:rFonts w:cs="Arial"/>
                          <w:color w:val="1C1C1C"/>
                          <w:sz w:val="23"/>
                          <w:szCs w:val="23"/>
                          <w:lang w:val="en-US"/>
                        </w:rPr>
                        <w:t>o further support this, there will be an impact of investment analysis within 2</w:t>
                      </w:r>
                      <w:r w:rsidR="004B341D" w:rsidRPr="00BF39A8">
                        <w:rPr>
                          <w:rFonts w:cs="Arial"/>
                          <w:color w:val="1C1C1C"/>
                          <w:sz w:val="23"/>
                          <w:szCs w:val="23"/>
                          <w:lang w:val="en-US"/>
                        </w:rPr>
                        <w:t>02</w:t>
                      </w:r>
                      <w:r w:rsidR="0036112F" w:rsidRPr="00BF39A8">
                        <w:rPr>
                          <w:rFonts w:cs="Arial"/>
                          <w:color w:val="1C1C1C"/>
                          <w:sz w:val="23"/>
                          <w:szCs w:val="23"/>
                          <w:lang w:val="en-US"/>
                        </w:rPr>
                        <w:t>4/25</w:t>
                      </w:r>
                      <w:r w:rsidR="004B341D" w:rsidRPr="00BF39A8">
                        <w:rPr>
                          <w:rFonts w:cs="Arial"/>
                          <w:color w:val="1C1C1C"/>
                          <w:sz w:val="23"/>
                          <w:szCs w:val="23"/>
                          <w:lang w:val="en-US"/>
                        </w:rPr>
                        <w:t xml:space="preserve"> and 2025/26</w:t>
                      </w:r>
                      <w:r w:rsidR="00FB454B" w:rsidRPr="00BF39A8">
                        <w:rPr>
                          <w:rFonts w:cs="Arial"/>
                          <w:color w:val="1C1C1C"/>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319D0436" w14:textId="2F79C188" w:rsidR="00FF559F" w:rsidRDefault="00971F2C" w:rsidP="00F65D85">
                      <w:pPr>
                        <w:pStyle w:val="ListParagraph"/>
                        <w:numPr>
                          <w:ilvl w:val="0"/>
                          <w:numId w:val="15"/>
                        </w:numPr>
                        <w:rPr>
                          <w:rFonts w:cs="Arial"/>
                          <w:color w:val="1C1C1C"/>
                          <w:sz w:val="23"/>
                          <w:szCs w:val="23"/>
                        </w:rPr>
                      </w:pPr>
                      <w:r w:rsidRPr="00FF559F">
                        <w:rPr>
                          <w:rFonts w:cs="Arial"/>
                          <w:color w:val="1C1C1C"/>
                          <w:sz w:val="23"/>
                          <w:szCs w:val="23"/>
                        </w:rPr>
                        <w:t>Is to support Practice Educator</w:t>
                      </w:r>
                      <w:r w:rsidR="00FF559F" w:rsidRPr="00FF559F">
                        <w:rPr>
                          <w:rFonts w:cs="Arial"/>
                          <w:color w:val="1C1C1C"/>
                          <w:sz w:val="23"/>
                          <w:szCs w:val="23"/>
                        </w:rPr>
                        <w:t xml:space="preserve"> roles </w:t>
                      </w:r>
                      <w:r w:rsidR="00E3551C">
                        <w:rPr>
                          <w:rFonts w:cs="Arial"/>
                          <w:color w:val="1C1C1C"/>
                          <w:sz w:val="23"/>
                          <w:szCs w:val="23"/>
                        </w:rPr>
                        <w:t xml:space="preserve">(salary and upskilling) </w:t>
                      </w:r>
                      <w:r w:rsidR="00FF559F" w:rsidRPr="00FF559F">
                        <w:rPr>
                          <w:rFonts w:cs="Arial"/>
                          <w:color w:val="1C1C1C"/>
                          <w:sz w:val="23"/>
                          <w:szCs w:val="23"/>
                        </w:rPr>
                        <w:t xml:space="preserve">across physiological sciences, with a priority area of echocardiography but with flexibility </w:t>
                      </w:r>
                      <w:r w:rsidR="00727597">
                        <w:rPr>
                          <w:rFonts w:cs="Arial"/>
                          <w:color w:val="1C1C1C"/>
                          <w:sz w:val="23"/>
                          <w:szCs w:val="23"/>
                        </w:rPr>
                        <w:t>for</w:t>
                      </w:r>
                      <w:r w:rsidR="00727597" w:rsidRPr="00FF559F">
                        <w:rPr>
                          <w:rFonts w:cs="Arial"/>
                          <w:color w:val="1C1C1C"/>
                          <w:sz w:val="23"/>
                          <w:szCs w:val="23"/>
                        </w:rPr>
                        <w:t xml:space="preserve"> </w:t>
                      </w:r>
                      <w:r w:rsidR="00FF559F" w:rsidRPr="00FF559F">
                        <w:rPr>
                          <w:rFonts w:cs="Arial"/>
                          <w:color w:val="1C1C1C"/>
                          <w:sz w:val="23"/>
                          <w:szCs w:val="23"/>
                        </w:rPr>
                        <w:t xml:space="preserve">other areas </w:t>
                      </w:r>
                      <w:r w:rsidR="00727597">
                        <w:rPr>
                          <w:rFonts w:cs="Arial"/>
                          <w:color w:val="1C1C1C"/>
                          <w:sz w:val="23"/>
                          <w:szCs w:val="23"/>
                        </w:rPr>
                        <w:t xml:space="preserve">which </w:t>
                      </w:r>
                      <w:r w:rsidR="00FF559F">
                        <w:rPr>
                          <w:rFonts w:cs="Arial"/>
                          <w:color w:val="1C1C1C"/>
                          <w:sz w:val="23"/>
                          <w:szCs w:val="23"/>
                        </w:rPr>
                        <w:t xml:space="preserve">may include </w:t>
                      </w:r>
                      <w:r w:rsidR="00FF559F" w:rsidRPr="00FF559F">
                        <w:rPr>
                          <w:rFonts w:cs="Arial"/>
                          <w:color w:val="1C1C1C"/>
                          <w:sz w:val="23"/>
                          <w:szCs w:val="23"/>
                        </w:rPr>
                        <w:t>Cardiac and Respiratory, Sleep, Neuro Physiology, Audio</w:t>
                      </w:r>
                      <w:r w:rsidR="00FF559F">
                        <w:rPr>
                          <w:rFonts w:cs="Arial"/>
                          <w:color w:val="1C1C1C"/>
                          <w:sz w:val="23"/>
                          <w:szCs w:val="23"/>
                        </w:rPr>
                        <w:t>logy</w:t>
                      </w:r>
                      <w:r w:rsidR="00FF559F" w:rsidRPr="00FF559F">
                        <w:rPr>
                          <w:rFonts w:cs="Arial"/>
                          <w:color w:val="1C1C1C"/>
                          <w:sz w:val="23"/>
                          <w:szCs w:val="23"/>
                        </w:rPr>
                        <w:t xml:space="preserve"> and </w:t>
                      </w:r>
                      <w:r w:rsidR="00FF559F">
                        <w:rPr>
                          <w:rFonts w:cs="Arial"/>
                          <w:color w:val="1C1C1C"/>
                          <w:sz w:val="23"/>
                          <w:szCs w:val="23"/>
                        </w:rPr>
                        <w:t>V</w:t>
                      </w:r>
                      <w:r w:rsidR="00FF559F" w:rsidRPr="00FF559F">
                        <w:rPr>
                          <w:rFonts w:cs="Arial"/>
                          <w:color w:val="1C1C1C"/>
                          <w:sz w:val="23"/>
                          <w:szCs w:val="23"/>
                        </w:rPr>
                        <w:t>ascular</w:t>
                      </w:r>
                    </w:p>
                    <w:p w14:paraId="17325751" w14:textId="048C365A" w:rsidR="00DC5B87" w:rsidRPr="00B97FE0" w:rsidRDefault="00DC5B87" w:rsidP="00DC5B87">
                      <w:pPr>
                        <w:pStyle w:val="ListParagraph"/>
                        <w:numPr>
                          <w:ilvl w:val="0"/>
                          <w:numId w:val="15"/>
                        </w:numPr>
                        <w:rPr>
                          <w:rFonts w:cs="Arial"/>
                          <w:color w:val="1C1C1C"/>
                          <w:sz w:val="23"/>
                          <w:szCs w:val="23"/>
                        </w:rPr>
                      </w:pPr>
                      <w:r>
                        <w:rPr>
                          <w:rFonts w:cs="Arial"/>
                          <w:color w:val="1C1C1C"/>
                          <w:sz w:val="23"/>
                          <w:szCs w:val="23"/>
                        </w:rPr>
                        <w:t>C</w:t>
                      </w:r>
                      <w:r w:rsidRPr="00B97FE0">
                        <w:rPr>
                          <w:rFonts w:cs="Arial"/>
                          <w:color w:val="1C1C1C"/>
                          <w:sz w:val="23"/>
                          <w:szCs w:val="23"/>
                        </w:rPr>
                        <w:t xml:space="preserve">an be used to develop new ways to support learners, including alternative models of delivery, focused pastoral support, and coaching and mentoring. </w:t>
                      </w:r>
                    </w:p>
                    <w:p w14:paraId="27D2F7D2" w14:textId="77777777" w:rsidR="0061221F" w:rsidRPr="00BF39A8" w:rsidRDefault="0061221F" w:rsidP="0036112F">
                      <w:pPr>
                        <w:rPr>
                          <w:rFonts w:cs="Arial"/>
                          <w:b/>
                          <w:bCs/>
                          <w:color w:val="0070C0"/>
                          <w:sz w:val="23"/>
                          <w:szCs w:val="23"/>
                          <w:highlight w:val="yellow"/>
                          <w:lang w:val="en-US"/>
                        </w:rPr>
                      </w:pPr>
                    </w:p>
                    <w:p w14:paraId="6A98260A" w14:textId="77777777" w:rsidR="00FF559F" w:rsidRPr="00BF39A8" w:rsidRDefault="00FF559F" w:rsidP="00FF559F">
                      <w:pPr>
                        <w:rPr>
                          <w:rFonts w:cs="Arial"/>
                          <w:b/>
                          <w:bCs/>
                          <w:color w:val="1C1C1C"/>
                          <w:sz w:val="23"/>
                          <w:szCs w:val="23"/>
                        </w:rPr>
                      </w:pPr>
                      <w:r w:rsidRPr="00BF39A8">
                        <w:rPr>
                          <w:rFonts w:cs="Arial"/>
                          <w:b/>
                          <w:bCs/>
                          <w:color w:val="1C1C1C"/>
                          <w:sz w:val="23"/>
                          <w:szCs w:val="23"/>
                        </w:rPr>
                        <w:t>Deadline for funding applications</w:t>
                      </w:r>
                    </w:p>
                    <w:p w14:paraId="69F8497D" w14:textId="162F4356" w:rsidR="00FF559F" w:rsidRPr="00BF39A8" w:rsidRDefault="00FF559F" w:rsidP="00FF559F">
                      <w:pPr>
                        <w:pStyle w:val="ListParagraph"/>
                        <w:numPr>
                          <w:ilvl w:val="0"/>
                          <w:numId w:val="2"/>
                        </w:numPr>
                        <w:rPr>
                          <w:rFonts w:cs="Arial"/>
                          <w:color w:val="1C1C1C"/>
                          <w:sz w:val="23"/>
                          <w:szCs w:val="23"/>
                        </w:rPr>
                      </w:pPr>
                      <w:r w:rsidRPr="00BF39A8">
                        <w:rPr>
                          <w:rFonts w:cs="Arial"/>
                          <w:b/>
                          <w:bCs/>
                          <w:sz w:val="23"/>
                          <w:szCs w:val="23"/>
                        </w:rPr>
                        <w:t xml:space="preserve">The application window will open </w:t>
                      </w:r>
                      <w:r w:rsidR="00075C08">
                        <w:rPr>
                          <w:rFonts w:cs="Arial"/>
                          <w:b/>
                          <w:bCs/>
                          <w:sz w:val="23"/>
                          <w:szCs w:val="23"/>
                        </w:rPr>
                        <w:t xml:space="preserve">in early </w:t>
                      </w:r>
                      <w:r w:rsidRPr="00075C08">
                        <w:rPr>
                          <w:rFonts w:cs="Arial"/>
                          <w:b/>
                          <w:bCs/>
                          <w:sz w:val="23"/>
                          <w:szCs w:val="23"/>
                        </w:rPr>
                        <w:t>March and</w:t>
                      </w:r>
                      <w:r w:rsidRPr="00BF39A8">
                        <w:rPr>
                          <w:rFonts w:cs="Arial"/>
                          <w:b/>
                          <w:bCs/>
                          <w:sz w:val="23"/>
                          <w:szCs w:val="23"/>
                        </w:rPr>
                        <w:t xml:space="preserve"> will close at </w:t>
                      </w:r>
                      <w:r w:rsidRPr="00075C08">
                        <w:rPr>
                          <w:rFonts w:cs="Arial"/>
                          <w:b/>
                          <w:bCs/>
                          <w:color w:val="FF0000"/>
                          <w:sz w:val="23"/>
                          <w:szCs w:val="23"/>
                        </w:rPr>
                        <w:t>9am on Tuesday 2 April 2024</w:t>
                      </w:r>
                      <w:r w:rsidRPr="00075C08">
                        <w:rPr>
                          <w:rFonts w:cs="Arial"/>
                          <w:color w:val="FF0000"/>
                          <w:sz w:val="23"/>
                          <w:szCs w:val="23"/>
                        </w:rPr>
                        <w:t xml:space="preserve"> </w:t>
                      </w:r>
                      <w:r w:rsidRPr="00BF39A8">
                        <w:rPr>
                          <w:rFonts w:cs="Arial"/>
                          <w:color w:val="1C1C1C"/>
                          <w:sz w:val="23"/>
                          <w:szCs w:val="23"/>
                        </w:rPr>
                        <w:t xml:space="preserve">to support funding being transferred in June 2024 via the NHSE Education Contract schedule where possible. </w:t>
                      </w:r>
                    </w:p>
                    <w:p w14:paraId="752823E9" w14:textId="77777777" w:rsidR="00FF559F" w:rsidRPr="00BF39A8" w:rsidRDefault="00FF559F" w:rsidP="00FF559F">
                      <w:pPr>
                        <w:pStyle w:val="ListParagraph"/>
                        <w:numPr>
                          <w:ilvl w:val="0"/>
                          <w:numId w:val="2"/>
                        </w:numPr>
                        <w:rPr>
                          <w:rFonts w:cs="Arial"/>
                          <w:color w:val="1C1C1C"/>
                          <w:sz w:val="23"/>
                          <w:szCs w:val="23"/>
                        </w:rPr>
                      </w:pPr>
                      <w:r w:rsidRPr="00BF39A8">
                        <w:rPr>
                          <w:rFonts w:cs="Arial"/>
                          <w:color w:val="1C1C1C"/>
                          <w:sz w:val="23"/>
                          <w:szCs w:val="23"/>
                        </w:rPr>
                        <w:t xml:space="preserve">It is possible that a second application round will run later in the year, subject to available funding but at this stage we aren’t able to confirm this. </w:t>
                      </w:r>
                    </w:p>
                    <w:p w14:paraId="3551B649" w14:textId="77777777" w:rsidR="001B2A57" w:rsidRPr="00BF39A8" w:rsidRDefault="001B2A57" w:rsidP="001B2A57">
                      <w:pPr>
                        <w:rPr>
                          <w:rFonts w:cs="Arial"/>
                          <w:color w:val="1C1C1C"/>
                          <w:sz w:val="23"/>
                          <w:szCs w:val="23"/>
                        </w:rPr>
                      </w:pPr>
                    </w:p>
                    <w:p w14:paraId="3A28028C" w14:textId="2B0A57DC" w:rsidR="000F74D4" w:rsidRPr="00BF39A8" w:rsidRDefault="000F74D4" w:rsidP="000F74D4">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w:t>
                      </w:r>
                      <w:r w:rsidR="00183BA7">
                        <w:rPr>
                          <w:rFonts w:cs="Arial"/>
                          <w:color w:val="1C1C1C"/>
                          <w:sz w:val="23"/>
                          <w:szCs w:val="23"/>
                        </w:rPr>
                        <w:t>.</w:t>
                      </w:r>
                    </w:p>
                    <w:p w14:paraId="2BF6802A" w14:textId="77777777" w:rsidR="000F74D4" w:rsidRPr="00BF39A8" w:rsidRDefault="000F74D4" w:rsidP="000F74D4">
                      <w:pPr>
                        <w:rPr>
                          <w:sz w:val="23"/>
                          <w:szCs w:val="23"/>
                        </w:rPr>
                      </w:pP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w:t>
      </w:r>
      <w:r w:rsidR="00984192">
        <w:rPr>
          <w:b/>
          <w:color w:val="0072CE"/>
        </w:rPr>
        <w:t>D</w:t>
      </w:r>
      <w:r w:rsidR="00E3695A" w:rsidRPr="00341E2F">
        <w:rPr>
          <w:b/>
          <w:color w:val="0072CE"/>
        </w:rPr>
        <w:t>irectorate</w:t>
      </w:r>
      <w:r w:rsidR="0036112F" w:rsidRPr="004B3B37">
        <w:rPr>
          <w:bCs/>
          <w:color w:val="0072CE"/>
        </w:rPr>
        <w:t>,</w:t>
      </w:r>
      <w:r w:rsidR="0036112F" w:rsidRPr="00492D26">
        <w:rPr>
          <w:bCs/>
          <w:color w:val="005EB8" w:themeColor="text1"/>
        </w:rPr>
        <w:t xml:space="preserve"> </w:t>
      </w:r>
      <w:hyperlink r:id="rId11" w:history="1">
        <w:r w:rsidR="00984192" w:rsidRPr="00A665DB">
          <w:rPr>
            <w:rStyle w:val="Hyperlink"/>
            <w:bCs/>
          </w:rPr>
          <w:t>england.canceranddiagnostics.se@nhs.net</w:t>
        </w:r>
      </w:hyperlink>
      <w:r w:rsidR="00984192">
        <w:rPr>
          <w:bCs/>
          <w:color w:val="005EB8" w:themeColor="text1"/>
        </w:rPr>
        <w:t xml:space="preserve"> </w:t>
      </w:r>
      <w:r w:rsidR="00984192" w:rsidRPr="00984192">
        <w:rPr>
          <w:bCs/>
          <w:color w:val="005EB8" w:themeColor="text1"/>
        </w:rPr>
        <w:t xml:space="preserve"> </w:t>
      </w:r>
      <w:r w:rsidR="00984192">
        <w:rPr>
          <w:bCs/>
          <w:color w:val="005EB8" w:themeColor="text1"/>
        </w:rPr>
        <w:t xml:space="preserve"> </w:t>
      </w:r>
      <w:hyperlink r:id="rId12" w:history="1"/>
      <w:r w:rsidR="006C6C42">
        <w:rPr>
          <w:rStyle w:val="Hyperlink"/>
          <w:rFonts w:asciiTheme="minorHAnsi" w:hAnsiTheme="minorHAnsi" w:cstheme="minorHAnsi"/>
          <w:bCs/>
        </w:rPr>
        <w:t xml:space="preserve"> </w:t>
      </w:r>
    </w:p>
    <w:p w14:paraId="10296E23" w14:textId="77777777" w:rsidR="00165795" w:rsidRDefault="00165795" w:rsidP="00107CF7"/>
    <w:p w14:paraId="3548F455" w14:textId="60260C0A" w:rsidR="0036112F" w:rsidRDefault="0036112F" w:rsidP="00107CF7"/>
    <w:p w14:paraId="12D6CA45" w14:textId="59F22FA3" w:rsidR="00401083" w:rsidRPr="00812726" w:rsidRDefault="0084629E" w:rsidP="00201F88">
      <w:pPr>
        <w:pStyle w:val="Heading2"/>
      </w:pPr>
      <w:r>
        <w:t>Overview</w:t>
      </w:r>
    </w:p>
    <w:p w14:paraId="42F37361" w14:textId="744A9721" w:rsidR="002573BC" w:rsidRDefault="002573BC" w:rsidP="001C246D">
      <w:pPr>
        <w:rPr>
          <w:lang w:val="en-US"/>
        </w:rPr>
      </w:pPr>
      <w:r>
        <w:t>This funding is envisaged to support</w:t>
      </w:r>
      <w:r w:rsidRPr="002573BC">
        <w:t xml:space="preserve"> Trusts and NHS Diagnostic services, including Community Diagnostic Centres, in developing their healthcare science workforce, particularly within physiological sciences</w:t>
      </w:r>
      <w:r>
        <w:t>.</w:t>
      </w:r>
    </w:p>
    <w:p w14:paraId="1CA4AB41" w14:textId="77777777" w:rsidR="002573BC" w:rsidRDefault="002573BC" w:rsidP="001C246D">
      <w:pPr>
        <w:rPr>
          <w:lang w:val="en-US"/>
        </w:rPr>
      </w:pPr>
    </w:p>
    <w:p w14:paraId="7C7BF1A5" w14:textId="109E1BFE" w:rsidR="008033BC" w:rsidRDefault="008033BC" w:rsidP="001C246D">
      <w:pPr>
        <w:rPr>
          <w:lang w:val="en-US"/>
        </w:rPr>
      </w:pPr>
      <w:r w:rsidRPr="00CA2A2C">
        <w:rPr>
          <w:lang w:val="en-US"/>
        </w:rPr>
        <w:t>High quality and sustainable practice education provision is required to support the growth in the numbers of learners within the NHS as well as promote and improve key issues such as retention, career development and job satisfaction. The</w:t>
      </w:r>
      <w:r w:rsidRPr="00611E0A">
        <w:rPr>
          <w:lang w:val="en-US"/>
        </w:rPr>
        <w:t xml:space="preserve"> </w:t>
      </w:r>
      <w:hyperlink r:id="rId13" w:history="1">
        <w:r w:rsidRPr="006503BC">
          <w:rPr>
            <w:rStyle w:val="Hyperlink"/>
            <w:rFonts w:cs="Arial"/>
            <w:lang w:val="en-US"/>
          </w:rPr>
          <w:t>NHSE Educator Workforce Strategy</w:t>
        </w:r>
      </w:hyperlink>
      <w:r w:rsidRPr="00611E0A">
        <w:rPr>
          <w:lang w:val="en-US"/>
        </w:rPr>
        <w:t xml:space="preserve"> </w:t>
      </w:r>
      <w:r w:rsidRPr="00CA2A2C">
        <w:rPr>
          <w:lang w:val="en-US"/>
        </w:rPr>
        <w:t xml:space="preserve">[published March 2023] highlights the role of education and training in alleviating workforce shortages; specifically, its importance in securing a future workforce, retaining the current workforce, and maximising the productivity of the workforce by optimising capacity and confidence. Investing in high quality practice educators is a key enabler. </w:t>
      </w:r>
    </w:p>
    <w:p w14:paraId="568AFA49" w14:textId="77777777" w:rsidR="00995AC9" w:rsidRPr="00995AC9" w:rsidRDefault="00995AC9" w:rsidP="001C246D">
      <w:pPr>
        <w:rPr>
          <w:lang w:val="en-US"/>
        </w:rPr>
      </w:pPr>
    </w:p>
    <w:p w14:paraId="60A030C5" w14:textId="6C94C7DE" w:rsidR="008033BC" w:rsidRDefault="00995AC9" w:rsidP="001C246D">
      <w:r w:rsidRPr="00995AC9">
        <w:rPr>
          <w:lang w:eastAsia="en-GB"/>
        </w:rPr>
        <w:t>We are hopeful that funding will be provided in 2024/25 to continue provision for practice educator</w:t>
      </w:r>
      <w:r w:rsidR="00D0540E">
        <w:rPr>
          <w:lang w:eastAsia="en-GB"/>
        </w:rPr>
        <w:t>s</w:t>
      </w:r>
      <w:r w:rsidRPr="00995AC9">
        <w:rPr>
          <w:lang w:eastAsia="en-GB"/>
        </w:rPr>
        <w:t xml:space="preserve"> </w:t>
      </w:r>
      <w:r w:rsidR="00BD41DA">
        <w:rPr>
          <w:lang w:eastAsia="en-GB"/>
        </w:rPr>
        <w:t xml:space="preserve">(PE) </w:t>
      </w:r>
      <w:r w:rsidRPr="00995AC9">
        <w:rPr>
          <w:lang w:eastAsia="en-GB"/>
        </w:rPr>
        <w:t xml:space="preserve">and education investment to support the development of healthcare scientists across physiological sciences. </w:t>
      </w:r>
      <w:r w:rsidRPr="00995AC9">
        <w:t xml:space="preserve">Aiming to develop specialist workforce supply and to increase regional and national training capacity in healthcare science, this is an ideal opportunity to shape and support workforce priorities whilst supporting workforce development with your local teams. </w:t>
      </w:r>
    </w:p>
    <w:p w14:paraId="12A93966" w14:textId="77777777" w:rsidR="002573BC" w:rsidRDefault="002573BC" w:rsidP="001C246D"/>
    <w:p w14:paraId="16046ECC" w14:textId="06E11FBC" w:rsidR="002573BC" w:rsidRPr="00914F4D" w:rsidRDefault="002573BC" w:rsidP="002573BC">
      <w:pPr>
        <w:rPr>
          <w:rFonts w:cs="Arial"/>
          <w:color w:val="1C1C1C"/>
          <w:sz w:val="23"/>
          <w:szCs w:val="23"/>
          <w:lang w:val="en-US"/>
        </w:rPr>
      </w:pPr>
      <w:r>
        <w:rPr>
          <w:rFonts w:cs="Arial"/>
          <w:b/>
          <w:bCs/>
          <w:color w:val="1C1C1C"/>
          <w:sz w:val="23"/>
          <w:szCs w:val="23"/>
          <w:lang w:val="en-US"/>
        </w:rPr>
        <w:t>Please kindly note - s</w:t>
      </w:r>
      <w:r w:rsidRPr="00D016E2">
        <w:rPr>
          <w:rFonts w:cs="Arial"/>
          <w:b/>
          <w:bCs/>
          <w:color w:val="1C1C1C"/>
          <w:sz w:val="23"/>
          <w:szCs w:val="23"/>
          <w:lang w:val="en-US"/>
        </w:rPr>
        <w:t>eparate discussions are taking place regarding continuation of existing practice educators who are working directly with NHSE in specific areas and those roles are not included within this guidance</w:t>
      </w:r>
      <w:r>
        <w:rPr>
          <w:rFonts w:cs="Arial"/>
          <w:b/>
          <w:bCs/>
          <w:color w:val="1C1C1C"/>
          <w:sz w:val="23"/>
          <w:szCs w:val="23"/>
          <w:lang w:val="en-US"/>
        </w:rPr>
        <w:t xml:space="preserve"> or funding offer.</w:t>
      </w:r>
    </w:p>
    <w:p w14:paraId="2C2A8669" w14:textId="77777777" w:rsidR="009A56AC" w:rsidRPr="009A56AC" w:rsidRDefault="009A56AC" w:rsidP="009A56AC">
      <w:pPr>
        <w:rPr>
          <w:rFonts w:eastAsia="Calibri" w:cs="Arial"/>
          <w:b/>
          <w:bCs/>
          <w:color w:val="0070C0"/>
          <w:kern w:val="2"/>
          <w:lang w:eastAsia="en-GB"/>
        </w:rPr>
      </w:pPr>
    </w:p>
    <w:p w14:paraId="14BD9FB2" w14:textId="76C18B44" w:rsidR="009A56AC" w:rsidRDefault="00FB5351" w:rsidP="00201F88">
      <w:pPr>
        <w:pStyle w:val="Heading2"/>
        <w:rPr>
          <w:lang w:eastAsia="en-GB"/>
        </w:rPr>
      </w:pPr>
      <w:r>
        <w:rPr>
          <w:lang w:eastAsia="en-GB"/>
        </w:rPr>
        <w:t>A</w:t>
      </w:r>
      <w:r w:rsidR="00707B6D" w:rsidRPr="00584A26">
        <w:rPr>
          <w:lang w:eastAsia="en-GB"/>
        </w:rPr>
        <w:t>im of the funding</w:t>
      </w:r>
    </w:p>
    <w:p w14:paraId="6D4A945F" w14:textId="224F6C5A" w:rsidR="004234C4" w:rsidRPr="004234C4" w:rsidRDefault="004234C4" w:rsidP="004234C4">
      <w:pPr>
        <w:pStyle w:val="ListParagraph"/>
        <w:numPr>
          <w:ilvl w:val="0"/>
          <w:numId w:val="23"/>
        </w:numPr>
        <w:rPr>
          <w:rFonts w:ascii="Times New Roman" w:eastAsia="Times New Roman" w:hAnsi="Times New Roman" w:cs="Times New Roman"/>
          <w:lang w:eastAsia="en-GB"/>
        </w:rPr>
      </w:pPr>
      <w:r w:rsidRPr="004234C4">
        <w:rPr>
          <w:rFonts w:eastAsia="Calibri" w:cs="Arial"/>
          <w:kern w:val="2"/>
          <w:lang w:eastAsia="en-GB"/>
        </w:rPr>
        <w:t>To provide alignment with healthcare science training expansion</w:t>
      </w:r>
    </w:p>
    <w:p w14:paraId="49A41A26" w14:textId="758C4966" w:rsidR="009A56AC" w:rsidRPr="00584A26" w:rsidRDefault="009A56AC" w:rsidP="009A56AC">
      <w:pPr>
        <w:pStyle w:val="ListParagraph"/>
        <w:numPr>
          <w:ilvl w:val="0"/>
          <w:numId w:val="23"/>
        </w:numPr>
        <w:rPr>
          <w:rFonts w:ascii="Times New Roman" w:eastAsia="Times New Roman" w:hAnsi="Times New Roman" w:cs="Times New Roman"/>
          <w:lang w:eastAsia="en-GB"/>
        </w:rPr>
      </w:pPr>
      <w:r w:rsidRPr="00584A26">
        <w:rPr>
          <w:rFonts w:eastAsia="Arial" w:cs="Arial"/>
          <w:kern w:val="2"/>
          <w:lang w:eastAsia="en-GB"/>
        </w:rPr>
        <w:t xml:space="preserve">To provide support and clinical education to staff and student learners to improve their professional practice alongside academic colleagues. </w:t>
      </w:r>
    </w:p>
    <w:p w14:paraId="448DD606" w14:textId="34AC5914" w:rsidR="004234C4" w:rsidRDefault="00584A26" w:rsidP="004234C4">
      <w:pPr>
        <w:pStyle w:val="ListParagraph"/>
        <w:numPr>
          <w:ilvl w:val="0"/>
          <w:numId w:val="15"/>
        </w:numPr>
        <w:rPr>
          <w:rFonts w:cs="Arial"/>
        </w:rPr>
      </w:pPr>
      <w:r w:rsidRPr="004234C4">
        <w:rPr>
          <w:rFonts w:cs="Arial"/>
        </w:rPr>
        <w:t>Focused on a p</w:t>
      </w:r>
      <w:r w:rsidR="00C04C8F" w:rsidRPr="004234C4">
        <w:rPr>
          <w:rFonts w:cs="Arial"/>
        </w:rPr>
        <w:t>riority area</w:t>
      </w:r>
      <w:r w:rsidRPr="004234C4">
        <w:rPr>
          <w:rFonts w:cs="Arial"/>
        </w:rPr>
        <w:t xml:space="preserve"> of</w:t>
      </w:r>
      <w:r w:rsidR="00C04C8F" w:rsidRPr="004234C4">
        <w:rPr>
          <w:rFonts w:cs="Arial"/>
        </w:rPr>
        <w:t xml:space="preserve"> echocardiography but with flexibility with other areas and may include Cardiac and Respiratory, Sleep, Neuro Physiology, Audiology and Vascular.</w:t>
      </w:r>
    </w:p>
    <w:p w14:paraId="6E0EE56A" w14:textId="77777777" w:rsidR="004234C4" w:rsidRDefault="004234C4" w:rsidP="004234C4">
      <w:pPr>
        <w:rPr>
          <w:rFonts w:cs="Arial"/>
        </w:rPr>
      </w:pPr>
    </w:p>
    <w:p w14:paraId="0CD6CD77" w14:textId="01A21A2E" w:rsidR="004234C4" w:rsidRPr="004234C4" w:rsidRDefault="004234C4" w:rsidP="004234C4">
      <w:pPr>
        <w:rPr>
          <w:rFonts w:cs="Arial"/>
        </w:rPr>
      </w:pPr>
      <w:r>
        <w:rPr>
          <w:rFonts w:cs="Arial"/>
        </w:rPr>
        <w:t>It could also be used to</w:t>
      </w:r>
      <w:r w:rsidR="002E33EF">
        <w:rPr>
          <w:rFonts w:cs="Arial"/>
        </w:rPr>
        <w:t xml:space="preserve"> support</w:t>
      </w:r>
      <w:r w:rsidR="00BF5087">
        <w:rPr>
          <w:rFonts w:cs="Arial"/>
        </w:rPr>
        <w:t xml:space="preserve"> practice educators to</w:t>
      </w:r>
      <w:r>
        <w:rPr>
          <w:rFonts w:cs="Arial"/>
        </w:rPr>
        <w:t>:</w:t>
      </w:r>
    </w:p>
    <w:p w14:paraId="1C4439E5" w14:textId="498E8ED7" w:rsidR="004234C4" w:rsidRDefault="004234C4" w:rsidP="004234C4">
      <w:pPr>
        <w:pStyle w:val="ListParagraph"/>
        <w:numPr>
          <w:ilvl w:val="0"/>
          <w:numId w:val="15"/>
        </w:numPr>
      </w:pPr>
      <w:r>
        <w:t>Provid</w:t>
      </w:r>
      <w:r w:rsidR="00BF5087">
        <w:t xml:space="preserve">e </w:t>
      </w:r>
      <w:r>
        <w:t xml:space="preserve">direct 1:1 training, supervision and assessment of trainees on work-based </w:t>
      </w:r>
      <w:proofErr w:type="gramStart"/>
      <w:r>
        <w:t>placements</w:t>
      </w:r>
      <w:proofErr w:type="gramEnd"/>
    </w:p>
    <w:p w14:paraId="105E19EC" w14:textId="0364AE72" w:rsidR="004234C4" w:rsidRDefault="00B4046C" w:rsidP="00A22FC1">
      <w:pPr>
        <w:pStyle w:val="ListParagraph"/>
        <w:numPr>
          <w:ilvl w:val="0"/>
          <w:numId w:val="15"/>
        </w:numPr>
      </w:pPr>
      <w:r>
        <w:t xml:space="preserve">Support </w:t>
      </w:r>
      <w:r w:rsidR="007F0A04">
        <w:t>b</w:t>
      </w:r>
      <w:r w:rsidR="004234C4">
        <w:t>eing a supportive role model, a coach, a teacher, mentor, and assessor of clinical competence</w:t>
      </w:r>
      <w:r w:rsidR="00A22FC1">
        <w:t>, h</w:t>
      </w:r>
      <w:r w:rsidR="004234C4">
        <w:t xml:space="preserve">aving responsibility for identifying individual learner styles and adapting these to accommodate individual trainee needs </w:t>
      </w:r>
    </w:p>
    <w:p w14:paraId="05151B33" w14:textId="217753A3" w:rsidR="004234C4" w:rsidRDefault="004234C4" w:rsidP="004234C4">
      <w:pPr>
        <w:pStyle w:val="ListParagraph"/>
        <w:numPr>
          <w:ilvl w:val="0"/>
          <w:numId w:val="15"/>
        </w:numPr>
      </w:pPr>
      <w:r>
        <w:t>Ensur</w:t>
      </w:r>
      <w:r w:rsidR="002E33EF">
        <w:t>e</w:t>
      </w:r>
      <w:r>
        <w:t xml:space="preserve"> appropriate and effective development of a learner within the work-based based education and training environment. </w:t>
      </w:r>
    </w:p>
    <w:p w14:paraId="15C135CE" w14:textId="60A827CF" w:rsidR="004234C4" w:rsidRDefault="004234C4" w:rsidP="004234C4">
      <w:pPr>
        <w:pStyle w:val="ListParagraph"/>
        <w:numPr>
          <w:ilvl w:val="0"/>
          <w:numId w:val="15"/>
        </w:numPr>
      </w:pPr>
      <w:r>
        <w:t>Prepar</w:t>
      </w:r>
      <w:r w:rsidR="002E33EF">
        <w:t>e</w:t>
      </w:r>
      <w:r>
        <w:t xml:space="preserve"> training materials alongside academic colleagues </w:t>
      </w:r>
    </w:p>
    <w:p w14:paraId="553DF3F1" w14:textId="5184B89A" w:rsidR="00A24596" w:rsidRPr="00A24596" w:rsidRDefault="00A24596" w:rsidP="00A24596">
      <w:pPr>
        <w:pStyle w:val="ListParagraph"/>
        <w:numPr>
          <w:ilvl w:val="0"/>
          <w:numId w:val="15"/>
        </w:numPr>
        <w:rPr>
          <w:rFonts w:cs="Arial"/>
        </w:rPr>
      </w:pPr>
      <w:r>
        <w:t xml:space="preserve">Undertake necessary learning and development of education and training skills e.g., PG Cert Ed or support to achieve a recognised fellowship in healthcare education. </w:t>
      </w:r>
    </w:p>
    <w:p w14:paraId="3039D97F" w14:textId="77777777" w:rsidR="004234C4" w:rsidRPr="004234C4" w:rsidRDefault="004234C4" w:rsidP="004234C4">
      <w:pPr>
        <w:pStyle w:val="ListParagraph"/>
        <w:ind w:left="790"/>
        <w:rPr>
          <w:rFonts w:ascii="Times New Roman" w:eastAsia="Times New Roman" w:hAnsi="Times New Roman" w:cs="Times New Roman"/>
          <w:lang w:eastAsia="en-GB"/>
        </w:rPr>
      </w:pPr>
    </w:p>
    <w:p w14:paraId="36599B11" w14:textId="77777777" w:rsidR="004234C4" w:rsidRDefault="004234C4" w:rsidP="004234C4">
      <w:pPr>
        <w:rPr>
          <w:rFonts w:cs="Arial"/>
          <w:color w:val="1C1C1C"/>
          <w:lang w:val="en-US"/>
        </w:rPr>
      </w:pPr>
      <w:r>
        <w:rPr>
          <w:rFonts w:cs="Arial"/>
          <w:color w:val="1C1C1C"/>
          <w:lang w:val="en-US"/>
        </w:rPr>
        <w:t>Other areas to support may include:</w:t>
      </w:r>
    </w:p>
    <w:p w14:paraId="269EA6AB" w14:textId="77777777" w:rsidR="004234C4" w:rsidRPr="000004F5" w:rsidRDefault="004234C4" w:rsidP="004234C4">
      <w:pPr>
        <w:pStyle w:val="ListParagraph"/>
        <w:numPr>
          <w:ilvl w:val="0"/>
          <w:numId w:val="24"/>
        </w:numPr>
        <w:rPr>
          <w:rFonts w:ascii="Times New Roman" w:eastAsia="Times New Roman" w:hAnsi="Times New Roman" w:cs="Times New Roman"/>
          <w:lang w:eastAsia="en-GB"/>
        </w:rPr>
      </w:pPr>
      <w:r w:rsidRPr="009A56AC">
        <w:rPr>
          <w:rFonts w:eastAsia="Arial" w:cs="Arial"/>
          <w:color w:val="000000"/>
          <w:kern w:val="2"/>
          <w:lang w:eastAsia="en-GB"/>
        </w:rPr>
        <w:t>On-going development of educational and training systems.</w:t>
      </w:r>
    </w:p>
    <w:p w14:paraId="7862FB04" w14:textId="77777777" w:rsidR="004234C4" w:rsidRDefault="004234C4" w:rsidP="004234C4">
      <w:pPr>
        <w:pStyle w:val="ListParagraph"/>
        <w:numPr>
          <w:ilvl w:val="0"/>
          <w:numId w:val="24"/>
        </w:numPr>
        <w:rPr>
          <w:rFonts w:cs="Arial"/>
          <w:sz w:val="23"/>
          <w:szCs w:val="23"/>
        </w:rPr>
      </w:pPr>
      <w:r w:rsidRPr="00072FE7">
        <w:rPr>
          <w:rFonts w:cs="Arial"/>
          <w:sz w:val="23"/>
          <w:szCs w:val="23"/>
        </w:rPr>
        <w:t xml:space="preserve">Developing new ways to support learners, including alternative models of delivery, focused pastoral support, and coaching and mentoring. </w:t>
      </w:r>
    </w:p>
    <w:p w14:paraId="2D03DD3F" w14:textId="6B363B52" w:rsidR="00270CF7" w:rsidRPr="004234C4" w:rsidRDefault="009A56AC" w:rsidP="000A7732">
      <w:pPr>
        <w:rPr>
          <w:rFonts w:ascii="Times New Roman" w:eastAsia="Times New Roman" w:hAnsi="Times New Roman" w:cs="Times New Roman"/>
          <w:lang w:eastAsia="en-GB"/>
        </w:rPr>
      </w:pPr>
      <w:r w:rsidRPr="009A56AC">
        <w:rPr>
          <w:rFonts w:eastAsia="Arial" w:cs="Arial"/>
          <w:color w:val="2F5597"/>
          <w:kern w:val="2"/>
          <w:lang w:eastAsia="en-GB"/>
        </w:rPr>
        <w:lastRenderedPageBreak/>
        <w:t> </w:t>
      </w:r>
    </w:p>
    <w:p w14:paraId="7038477D" w14:textId="02CC9CE7" w:rsidR="00270CF7" w:rsidRPr="004234C4" w:rsidRDefault="000A7732" w:rsidP="004234C4">
      <w:r>
        <w:t xml:space="preserve">Nationally, there is the suggestion that the </w:t>
      </w:r>
      <w:r w:rsidR="009E33C4">
        <w:t xml:space="preserve">PE </w:t>
      </w:r>
      <w:r>
        <w:t>role is to be embedded within organisational structures</w:t>
      </w:r>
      <w:r w:rsidR="002573BC">
        <w:t xml:space="preserve"> ideally at a</w:t>
      </w:r>
      <w:r>
        <w:t xml:space="preserve"> Band 8</w:t>
      </w:r>
      <w:r w:rsidR="009E33C4">
        <w:t>a</w:t>
      </w:r>
      <w:r w:rsidR="007012DE">
        <w:t xml:space="preserve">, with each healthcare science department </w:t>
      </w:r>
      <w:r>
        <w:t>hav</w:t>
      </w:r>
      <w:r w:rsidR="007012DE">
        <w:t>ing</w:t>
      </w:r>
      <w:r>
        <w:t xml:space="preserve"> at least one </w:t>
      </w:r>
      <w:r w:rsidR="009E33C4">
        <w:t>PE</w:t>
      </w:r>
      <w:r>
        <w:t xml:space="preserve"> with the</w:t>
      </w:r>
      <w:r w:rsidR="007012DE">
        <w:t>se</w:t>
      </w:r>
      <w:r>
        <w:t xml:space="preserve"> responsibilities clarified within the</w:t>
      </w:r>
      <w:r w:rsidR="00C53B69">
        <w:t>ir</w:t>
      </w:r>
      <w:r>
        <w:t xml:space="preserve"> job description. </w:t>
      </w:r>
      <w:r w:rsidR="004234C4">
        <w:t xml:space="preserve"> The regional team will explore this as part of end of year investment evaluation. </w:t>
      </w:r>
    </w:p>
    <w:p w14:paraId="6663442D" w14:textId="77777777" w:rsidR="00E3551C" w:rsidRDefault="00E3551C" w:rsidP="00401083">
      <w:pPr>
        <w:jc w:val="both"/>
        <w:rPr>
          <w:rFonts w:cs="Arial"/>
          <w:b/>
          <w:bCs/>
          <w:iCs/>
          <w:color w:val="003893"/>
          <w:sz w:val="28"/>
          <w:szCs w:val="28"/>
        </w:rPr>
      </w:pPr>
    </w:p>
    <w:p w14:paraId="526C7C43" w14:textId="69185AE0" w:rsidR="00401083" w:rsidRPr="00B07B65" w:rsidRDefault="00401083" w:rsidP="00B20362">
      <w:pPr>
        <w:pStyle w:val="Heading2"/>
      </w:pPr>
      <w:r w:rsidRPr="00B07B65">
        <w:t xml:space="preserve">The funding </w:t>
      </w:r>
      <w:proofErr w:type="gramStart"/>
      <w:r w:rsidRPr="00B07B65">
        <w:t>offer</w:t>
      </w:r>
      <w:proofErr w:type="gramEnd"/>
    </w:p>
    <w:p w14:paraId="569579C7" w14:textId="746DBC2E" w:rsidR="00011C65" w:rsidRDefault="00886689" w:rsidP="001A03A4">
      <w:pPr>
        <w:rPr>
          <w:rFonts w:cs="Arial"/>
          <w:color w:val="1C1C1C"/>
          <w:lang w:val="en-US"/>
        </w:rPr>
      </w:pPr>
      <w:r>
        <w:t xml:space="preserve">To help grow and transform the </w:t>
      </w:r>
      <w:r w:rsidR="000D6E00">
        <w:t>physiological science</w:t>
      </w:r>
      <w:r>
        <w:t xml:space="preserve"> workforce, </w:t>
      </w:r>
      <w:r w:rsidR="000F74D4">
        <w:t xml:space="preserve">this </w:t>
      </w:r>
      <w:r>
        <w:t>NHS England</w:t>
      </w:r>
      <w:r w:rsidR="00D0794E">
        <w:t xml:space="preserve"> practice education</w:t>
      </w:r>
      <w:r>
        <w:t xml:space="preserve"> </w:t>
      </w:r>
      <w:r w:rsidR="000F74D4">
        <w:t xml:space="preserve">funding offers </w:t>
      </w:r>
      <w:r w:rsidR="000D6E00">
        <w:t xml:space="preserve">salary support to </w:t>
      </w:r>
      <w:r w:rsidR="00130A33">
        <w:t>those who wish to work</w:t>
      </w:r>
      <w:r w:rsidR="0097169D">
        <w:t xml:space="preserve"> </w:t>
      </w:r>
      <w:r w:rsidR="00AA5FF6">
        <w:t>or are currently working</w:t>
      </w:r>
      <w:r w:rsidR="00130A33">
        <w:t xml:space="preserve"> as a </w:t>
      </w:r>
      <w:r w:rsidR="00244959">
        <w:t xml:space="preserve">PE </w:t>
      </w:r>
      <w:r w:rsidR="00130A33">
        <w:t>within the physiological sciences</w:t>
      </w:r>
      <w:r w:rsidR="004234C4">
        <w:t xml:space="preserve"> </w:t>
      </w:r>
      <w:r w:rsidR="002B7C28">
        <w:t xml:space="preserve">in </w:t>
      </w:r>
      <w:r w:rsidR="004234C4">
        <w:t>a Trust or department</w:t>
      </w:r>
      <w:r w:rsidR="009A56AC">
        <w:t xml:space="preserve">. </w:t>
      </w:r>
      <w:r w:rsidR="00E3551C">
        <w:t xml:space="preserve">Funding can be used to support salary payments or upskilling opportunities linked to practice education. </w:t>
      </w:r>
    </w:p>
    <w:p w14:paraId="6AE2917F" w14:textId="77777777" w:rsidR="00011C65" w:rsidRDefault="00011C65" w:rsidP="001A03A4">
      <w:pPr>
        <w:rPr>
          <w:rFonts w:cs="Arial"/>
          <w:color w:val="1C1C1C"/>
          <w:lang w:val="en-US"/>
        </w:rPr>
      </w:pPr>
    </w:p>
    <w:p w14:paraId="470513E4" w14:textId="486B05B8" w:rsidR="0090474D" w:rsidRDefault="0070736F" w:rsidP="00A75BBA">
      <w:pPr>
        <w:rPr>
          <w:rFonts w:cs="Arial"/>
          <w:color w:val="1C1C1C"/>
          <w:lang w:val="en-US"/>
        </w:rPr>
      </w:pPr>
      <w:r>
        <w:rPr>
          <w:rFonts w:cs="Arial"/>
          <w:color w:val="1C1C1C"/>
          <w:lang w:val="en-US"/>
        </w:rPr>
        <w:t xml:space="preserve">Applications are invited from </w:t>
      </w:r>
      <w:r w:rsidR="005514F5">
        <w:rPr>
          <w:rFonts w:cs="Arial"/>
          <w:color w:val="1C1C1C"/>
          <w:lang w:val="en-US"/>
        </w:rPr>
        <w:t>Trusts</w:t>
      </w:r>
      <w:r w:rsidR="002573BC">
        <w:rPr>
          <w:rFonts w:cs="Arial"/>
          <w:color w:val="1C1C1C"/>
          <w:lang w:val="en-US"/>
        </w:rPr>
        <w:t xml:space="preserve">, Community Diagnostic </w:t>
      </w:r>
      <w:proofErr w:type="gramStart"/>
      <w:r w:rsidR="002573BC">
        <w:rPr>
          <w:rFonts w:cs="Arial"/>
          <w:color w:val="1C1C1C"/>
          <w:lang w:val="en-US"/>
        </w:rPr>
        <w:t>Centres</w:t>
      </w:r>
      <w:proofErr w:type="gramEnd"/>
      <w:r w:rsidR="00244959">
        <w:rPr>
          <w:rFonts w:cs="Arial"/>
          <w:color w:val="1C1C1C"/>
          <w:lang w:val="en-US"/>
        </w:rPr>
        <w:t xml:space="preserve"> and Integrated Care Systems (ICS)</w:t>
      </w:r>
      <w:r w:rsidR="005514F5">
        <w:rPr>
          <w:rFonts w:cs="Arial"/>
          <w:color w:val="1C1C1C"/>
          <w:lang w:val="en-US"/>
        </w:rPr>
        <w:t xml:space="preserve"> who may wish </w:t>
      </w:r>
      <w:r w:rsidR="00E3551C">
        <w:rPr>
          <w:rFonts w:cs="Arial"/>
          <w:color w:val="1C1C1C"/>
          <w:lang w:val="en-US"/>
        </w:rPr>
        <w:t>to utilise</w:t>
      </w:r>
      <w:r w:rsidR="0095770D">
        <w:rPr>
          <w:rFonts w:cs="Arial"/>
          <w:color w:val="1C1C1C"/>
          <w:lang w:val="en-US"/>
        </w:rPr>
        <w:t xml:space="preserve"> </w:t>
      </w:r>
      <w:r w:rsidR="00A22176">
        <w:rPr>
          <w:rFonts w:cs="Arial"/>
          <w:color w:val="1C1C1C"/>
          <w:lang w:val="en-US"/>
        </w:rPr>
        <w:t>funding to support</w:t>
      </w:r>
      <w:r w:rsidR="005514F5">
        <w:rPr>
          <w:rFonts w:cs="Arial"/>
          <w:color w:val="1C1C1C"/>
          <w:lang w:val="en-US"/>
        </w:rPr>
        <w:t xml:space="preserve"> </w:t>
      </w:r>
      <w:r w:rsidR="00A22176">
        <w:rPr>
          <w:rFonts w:cs="Arial"/>
          <w:color w:val="1C1C1C"/>
          <w:lang w:val="en-US"/>
        </w:rPr>
        <w:t>aspiring or existing practice educators</w:t>
      </w:r>
      <w:r w:rsidR="008F58C8">
        <w:rPr>
          <w:rFonts w:cs="Arial"/>
          <w:color w:val="1C1C1C"/>
          <w:lang w:val="en-US"/>
        </w:rPr>
        <w:t xml:space="preserve"> within their departments</w:t>
      </w:r>
      <w:r w:rsidR="00E3551C">
        <w:rPr>
          <w:rFonts w:cs="Arial"/>
          <w:color w:val="1C1C1C"/>
          <w:lang w:val="en-US"/>
        </w:rPr>
        <w:t xml:space="preserve">. Please note that funding may be </w:t>
      </w:r>
      <w:r w:rsidR="00EF430F">
        <w:rPr>
          <w:rFonts w:cs="Arial"/>
          <w:color w:val="1C1C1C"/>
          <w:lang w:val="en-US"/>
        </w:rPr>
        <w:t>limited,</w:t>
      </w:r>
      <w:r w:rsidR="00E3551C">
        <w:rPr>
          <w:rFonts w:cs="Arial"/>
          <w:color w:val="1C1C1C"/>
          <w:lang w:val="en-US"/>
        </w:rPr>
        <w:t xml:space="preserve"> and we will work with NHSE Physiological Science colleagues to review</w:t>
      </w:r>
      <w:r w:rsidR="00EC7DD0">
        <w:rPr>
          <w:rFonts w:cs="Arial"/>
          <w:color w:val="1C1C1C"/>
          <w:lang w:val="en-US"/>
        </w:rPr>
        <w:t xml:space="preserve"> all applications</w:t>
      </w:r>
      <w:r w:rsidR="00E3551C">
        <w:rPr>
          <w:rFonts w:cs="Arial"/>
          <w:color w:val="1C1C1C"/>
          <w:lang w:val="en-US"/>
        </w:rPr>
        <w:t xml:space="preserve">. </w:t>
      </w:r>
    </w:p>
    <w:p w14:paraId="63CBCD1B" w14:textId="77777777" w:rsidR="00A75BBA" w:rsidRDefault="00A75BBA" w:rsidP="00401083">
      <w:pPr>
        <w:jc w:val="both"/>
        <w:rPr>
          <w:rFonts w:cs="Arial"/>
          <w:b/>
          <w:bCs/>
          <w:iCs/>
          <w:color w:val="003893"/>
          <w:sz w:val="28"/>
          <w:szCs w:val="28"/>
        </w:rPr>
      </w:pPr>
    </w:p>
    <w:p w14:paraId="28FA1605" w14:textId="4A48BEC8"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6029F77C" w14:textId="45083EDE" w:rsidR="00FE4E56" w:rsidRDefault="00FE4E56" w:rsidP="00401083">
      <w:pPr>
        <w:jc w:val="both"/>
        <w:rPr>
          <w:rFonts w:cs="Arial"/>
          <w:b/>
          <w:bCs/>
          <w:iCs/>
          <w:color w:val="0070C0"/>
          <w:sz w:val="28"/>
          <w:szCs w:val="28"/>
        </w:rPr>
      </w:pPr>
    </w:p>
    <w:p w14:paraId="351BF105" w14:textId="0FF9794C" w:rsidR="00A13FC6" w:rsidRDefault="00D532A2" w:rsidP="00A24596">
      <w:pPr>
        <w:rPr>
          <w:lang w:val="en-US"/>
        </w:rPr>
      </w:pPr>
      <w:r w:rsidRPr="009A56AC">
        <w:rPr>
          <w:lang w:val="en-US"/>
        </w:rPr>
        <w:t xml:space="preserve">As a reminder, </w:t>
      </w:r>
      <w:r w:rsidRPr="00A24596">
        <w:rPr>
          <w:b/>
          <w:bCs/>
          <w:lang w:val="en-US"/>
        </w:rPr>
        <w:t>funding is yet to be confirmed for 2024/25.</w:t>
      </w:r>
    </w:p>
    <w:p w14:paraId="34121AAD" w14:textId="77777777" w:rsidR="00561B2E" w:rsidRDefault="00561B2E" w:rsidP="00A24596">
      <w:pPr>
        <w:rPr>
          <w:lang w:val="en-US"/>
        </w:rPr>
      </w:pPr>
    </w:p>
    <w:p w14:paraId="68AE9E80" w14:textId="4A17289A" w:rsidR="00561B2E" w:rsidRDefault="00561B2E" w:rsidP="00A24596">
      <w:pPr>
        <w:rPr>
          <w:lang w:val="en-US"/>
        </w:rPr>
      </w:pPr>
      <w:r w:rsidRPr="00AB2BA1">
        <w:rPr>
          <w:lang w:val="en-US"/>
        </w:rPr>
        <w:t>This offer is open to NHS Trusts</w:t>
      </w:r>
      <w:r w:rsidR="002573BC">
        <w:rPr>
          <w:lang w:val="en-US"/>
        </w:rPr>
        <w:t xml:space="preserve">, Community Diagnostic Centres and </w:t>
      </w:r>
      <w:r>
        <w:rPr>
          <w:lang w:val="en-US"/>
        </w:rPr>
        <w:t xml:space="preserve">ICS </w:t>
      </w:r>
      <w:r w:rsidRPr="00AB2BA1">
        <w:rPr>
          <w:lang w:val="en-US"/>
        </w:rPr>
        <w:t xml:space="preserve">within the South East </w:t>
      </w:r>
      <w:r>
        <w:rPr>
          <w:lang w:val="en-US"/>
        </w:rPr>
        <w:t xml:space="preserve">who are </w:t>
      </w:r>
      <w:r w:rsidRPr="00B26969">
        <w:rPr>
          <w:lang w:val="en-US"/>
        </w:rPr>
        <w:t xml:space="preserve">asked to link with their relevant </w:t>
      </w:r>
      <w:bookmarkStart w:id="1" w:name="_Hlk108438007"/>
      <w:r>
        <w:rPr>
          <w:lang w:val="en-US"/>
        </w:rPr>
        <w:t xml:space="preserve">healthcare science and physiological science teams </w:t>
      </w:r>
      <w:r w:rsidRPr="00B26969">
        <w:rPr>
          <w:lang w:val="en-US"/>
        </w:rPr>
        <w:t xml:space="preserve">to review this offer and to work up plans. </w:t>
      </w:r>
      <w:bookmarkEnd w:id="1"/>
    </w:p>
    <w:p w14:paraId="0E0390BC" w14:textId="77777777" w:rsidR="00561B2E" w:rsidRDefault="00561B2E" w:rsidP="00A24596">
      <w:pPr>
        <w:rPr>
          <w:lang w:val="en-US"/>
        </w:rPr>
      </w:pPr>
    </w:p>
    <w:p w14:paraId="39D435EB" w14:textId="77777777" w:rsidR="00561B2E" w:rsidRDefault="00561B2E" w:rsidP="00A24596">
      <w:pPr>
        <w:rPr>
          <w:lang w:val="en-US"/>
        </w:rPr>
      </w:pPr>
      <w:r w:rsidRPr="002573BC">
        <w:rPr>
          <w:rStyle w:val="ui-provider"/>
          <w:b/>
          <w:bCs/>
        </w:rPr>
        <w:t>Please note that applications must not be submitted by individual learners themselves;</w:t>
      </w:r>
      <w:r>
        <w:rPr>
          <w:rStyle w:val="ui-provider"/>
        </w:rPr>
        <w:t xml:space="preserve"> all applications must be submitted on behalf of the named learner e.g., by a line manager / head of department / education lead etc.</w:t>
      </w:r>
    </w:p>
    <w:p w14:paraId="5F28CB92" w14:textId="77777777" w:rsidR="008D5581" w:rsidRPr="009A56AC" w:rsidRDefault="008D5581" w:rsidP="00A24596">
      <w:pPr>
        <w:rPr>
          <w:lang w:val="en-US"/>
        </w:rPr>
      </w:pPr>
    </w:p>
    <w:p w14:paraId="679737A3" w14:textId="77777777" w:rsidR="001F4F7C" w:rsidRPr="00B26969" w:rsidRDefault="001F4F7C" w:rsidP="00A24596">
      <w:pPr>
        <w:rPr>
          <w:lang w:val="en-US"/>
        </w:rPr>
      </w:pPr>
      <w:r>
        <w:rPr>
          <w:lang w:val="en-US"/>
        </w:rPr>
        <w:t>If interested in applying for this funding offer:</w:t>
      </w:r>
    </w:p>
    <w:p w14:paraId="2F3E5696" w14:textId="0AF55F61" w:rsidR="001F4F7C" w:rsidRPr="00A24596" w:rsidRDefault="001F4F7C" w:rsidP="00A24596">
      <w:pPr>
        <w:pStyle w:val="ListParagraph"/>
        <w:numPr>
          <w:ilvl w:val="0"/>
          <w:numId w:val="26"/>
        </w:numPr>
        <w:rPr>
          <w:lang w:val="en-US"/>
        </w:rPr>
      </w:pPr>
      <w:r w:rsidRPr="00A24596">
        <w:rPr>
          <w:lang w:val="en-US"/>
        </w:rPr>
        <w:t xml:space="preserve">Completion of online application – Please complete an online application which can be accessed through this link – </w:t>
      </w:r>
      <w:hyperlink r:id="rId14" w:history="1">
        <w:r w:rsidR="005840A8">
          <w:rPr>
            <w:rStyle w:val="Hyperlink"/>
            <w:lang w:val="en-US"/>
          </w:rPr>
          <w:t>Physiological Science practice education application form</w:t>
        </w:r>
      </w:hyperlink>
      <w:r w:rsidR="005840A8">
        <w:rPr>
          <w:lang w:val="en-US"/>
        </w:rPr>
        <w:t xml:space="preserve"> </w:t>
      </w:r>
    </w:p>
    <w:p w14:paraId="058C8154" w14:textId="77777777" w:rsidR="001F4F7C" w:rsidRPr="00A24596" w:rsidRDefault="001F4F7C" w:rsidP="00A24596">
      <w:pPr>
        <w:pStyle w:val="ListParagraph"/>
        <w:numPr>
          <w:ilvl w:val="0"/>
          <w:numId w:val="26"/>
        </w:numPr>
        <w:rPr>
          <w:rFonts w:asciiTheme="minorHAnsi" w:hAnsiTheme="minorHAnsi" w:cstheme="minorHAnsi"/>
        </w:rPr>
      </w:pPr>
      <w:r w:rsidRPr="00A24596">
        <w:rPr>
          <w:rFonts w:asciiTheme="minorHAnsi" w:hAnsiTheme="minorHAnsi" w:cstheme="minorHAnsi"/>
        </w:rPr>
        <w:t xml:space="preserve">Deadline All applications must be through this online application form and must be submitted by </w:t>
      </w:r>
      <w:r w:rsidRPr="00A24596">
        <w:rPr>
          <w:rFonts w:asciiTheme="minorHAnsi" w:hAnsiTheme="minorHAnsi" w:cstheme="minorHAnsi"/>
          <w:color w:val="FF0000"/>
        </w:rPr>
        <w:t>9am on Tuesday 2 April 2024.</w:t>
      </w:r>
      <w:r w:rsidRPr="00A24596">
        <w:rPr>
          <w:color w:val="FF0000"/>
        </w:rPr>
        <w:t xml:space="preserve"> </w:t>
      </w:r>
    </w:p>
    <w:p w14:paraId="7A4A15E8" w14:textId="77777777" w:rsidR="001F4F7C" w:rsidRPr="00B26969" w:rsidRDefault="001F4F7C" w:rsidP="00A24596">
      <w:pPr>
        <w:rPr>
          <w:rFonts w:asciiTheme="minorHAnsi" w:hAnsiTheme="minorHAnsi" w:cstheme="minorHAnsi"/>
        </w:rPr>
      </w:pPr>
    </w:p>
    <w:p w14:paraId="07374D6F" w14:textId="2BA38417" w:rsidR="001F4F7C" w:rsidRPr="002573BC" w:rsidRDefault="001F4F7C" w:rsidP="001F4F7C">
      <w:pPr>
        <w:spacing w:after="24" w:line="276" w:lineRule="auto"/>
        <w:rPr>
          <w:rFonts w:cs="Arial"/>
          <w:lang w:val="en-US"/>
        </w:rPr>
      </w:pPr>
      <w:r w:rsidRPr="002573BC">
        <w:rPr>
          <w:rFonts w:asciiTheme="minorHAnsi" w:hAnsiTheme="minorHAnsi" w:cstheme="minorHAnsi"/>
        </w:rPr>
        <w:t xml:space="preserve">All applications </w:t>
      </w:r>
      <w:r w:rsidRPr="002573BC">
        <w:rPr>
          <w:rFonts w:cs="Arial"/>
          <w:lang w:val="en-US"/>
        </w:rPr>
        <w:t>will be reviewed by the NHSE SE Cancer and Diagnostics Programme team [Workforce, Training and Education]. Depending on the number of applications, not all may be able to be supported. A review and prioritisation exercise will take place by the Cancer and Diagnostic programme team including other colleagues where required.</w:t>
      </w:r>
    </w:p>
    <w:p w14:paraId="6FA26161" w14:textId="77777777" w:rsidR="001F4F7C" w:rsidRPr="002573BC" w:rsidRDefault="001F4F7C" w:rsidP="001F4F7C">
      <w:pPr>
        <w:spacing w:after="24" w:line="276" w:lineRule="auto"/>
        <w:rPr>
          <w:rFonts w:cs="Arial"/>
          <w:lang w:val="en-US"/>
        </w:rPr>
      </w:pPr>
    </w:p>
    <w:p w14:paraId="437EC012" w14:textId="77777777" w:rsidR="001F4F7C" w:rsidRPr="002573BC" w:rsidRDefault="001F4F7C" w:rsidP="001F4F7C">
      <w:pPr>
        <w:spacing w:after="24" w:line="276" w:lineRule="auto"/>
        <w:rPr>
          <w:rFonts w:asciiTheme="minorHAnsi" w:hAnsiTheme="minorHAnsi" w:cstheme="minorHAnsi"/>
          <w:lang w:val="en-US"/>
        </w:rPr>
      </w:pPr>
      <w:r w:rsidRPr="002573BC">
        <w:rPr>
          <w:rFonts w:asciiTheme="minorHAnsi" w:hAnsiTheme="minorHAnsi" w:cstheme="minorHAnsi"/>
          <w:lang w:val="en-US"/>
        </w:rPr>
        <w:t xml:space="preserve">If you are unable to meet the 2 April 2024 deadline, there may be a second funding round in June 2024; details will be shared closer to the time.  </w:t>
      </w:r>
    </w:p>
    <w:p w14:paraId="709B59DD" w14:textId="77777777" w:rsidR="001F4F7C" w:rsidRDefault="001F4F7C" w:rsidP="001F4F7C">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lastRenderedPageBreak/>
        <w:t>Reporting and monitoring investment</w:t>
      </w:r>
    </w:p>
    <w:p w14:paraId="0A957180" w14:textId="77777777" w:rsidR="009F3C7D" w:rsidRDefault="009F3C7D" w:rsidP="00401083">
      <w:pPr>
        <w:jc w:val="both"/>
        <w:rPr>
          <w:rFonts w:cs="Arial"/>
          <w:color w:val="005EB8" w:themeColor="text1"/>
        </w:rPr>
      </w:pPr>
    </w:p>
    <w:p w14:paraId="4821CF6F" w14:textId="78127AEA" w:rsidR="00401083" w:rsidRDefault="0098626C" w:rsidP="002573BC">
      <w:r w:rsidRPr="00413D35">
        <w:t xml:space="preserve">NHSE </w:t>
      </w:r>
      <w:r w:rsidR="00A13FC6">
        <w:t>South East</w:t>
      </w:r>
      <w:r w:rsidR="009F3C7D" w:rsidRPr="00413D35">
        <w:t xml:space="preserve"> </w:t>
      </w:r>
      <w:r w:rsidR="00401083" w:rsidRPr="00413D35">
        <w:t xml:space="preserve">are required to provide full details of </w:t>
      </w:r>
      <w:r w:rsidRPr="00413D35">
        <w:t>the use of this</w:t>
      </w:r>
      <w:r w:rsidR="00401083" w:rsidRPr="00413D35">
        <w:t xml:space="preserve"> funding to the national </w:t>
      </w:r>
      <w:r w:rsidRPr="00413D35">
        <w:t>NHSE</w:t>
      </w:r>
      <w:r w:rsidR="00401083" w:rsidRPr="00413D35">
        <w:t xml:space="preserve"> Cancer and Diagnostics</w:t>
      </w:r>
      <w:r w:rsidR="00A50507">
        <w:t xml:space="preserve"> programme, part of the Workforce Training and Education Directorate </w:t>
      </w:r>
      <w:r w:rsidR="00401083" w:rsidRPr="00413D35">
        <w:t xml:space="preserve">so that investment can be appropriately reported. </w:t>
      </w:r>
      <w:r w:rsidR="007E6CF5" w:rsidRPr="00413D35">
        <w:t>Where funding has been used to support an individual, t</w:t>
      </w:r>
      <w:r w:rsidR="00401083" w:rsidRPr="00413D35">
        <w:t>he national</w:t>
      </w:r>
      <w:r w:rsidR="009F3C7D" w:rsidRPr="00413D35">
        <w:t xml:space="preserve"> </w:t>
      </w:r>
      <w:r w:rsidR="00401083" w:rsidRPr="00413D35">
        <w:t xml:space="preserve">Programme </w:t>
      </w:r>
      <w:r w:rsidR="00A9515C" w:rsidRPr="00413D35">
        <w:t>team may</w:t>
      </w:r>
      <w:r w:rsidR="00A77A6B" w:rsidRPr="00413D35">
        <w:t xml:space="preserve"> </w:t>
      </w:r>
      <w:r w:rsidR="00401083" w:rsidRPr="00413D35">
        <w:t xml:space="preserve">keep a database of participant </w:t>
      </w:r>
      <w:r w:rsidRPr="00413D35">
        <w:t>details</w:t>
      </w:r>
      <w:r w:rsidR="00401083" w:rsidRPr="00413D35">
        <w:t xml:space="preserve"> (to include role, Trust, HEI/training provider).</w:t>
      </w:r>
    </w:p>
    <w:p w14:paraId="6E8AB405" w14:textId="77777777" w:rsidR="009F3C7D" w:rsidRPr="00413D35" w:rsidRDefault="009F3C7D" w:rsidP="002573BC"/>
    <w:p w14:paraId="22D49EF7" w14:textId="61E2923D" w:rsidR="00063249" w:rsidRDefault="00881E6B" w:rsidP="002573BC">
      <w:r>
        <w:t xml:space="preserve">Departments </w:t>
      </w:r>
      <w:r w:rsidR="008D5581" w:rsidRPr="00413D35">
        <w:t>receiving</w:t>
      </w:r>
      <w:r w:rsidR="009F3C7D" w:rsidRPr="00413D35">
        <w:t xml:space="preserve"> this funding will be required to </w:t>
      </w:r>
      <w:r w:rsidR="00C34B57">
        <w:t xml:space="preserve">provide </w:t>
      </w:r>
      <w:r w:rsidR="00401083" w:rsidRPr="00413D35">
        <w:t>update</w:t>
      </w:r>
      <w:r w:rsidR="00C34B57">
        <w:t>s</w:t>
      </w:r>
      <w:r w:rsidR="009F3C7D" w:rsidRPr="00413D35">
        <w:t xml:space="preserve"> </w:t>
      </w:r>
      <w:r w:rsidR="008D5581">
        <w:t xml:space="preserve">on this investment </w:t>
      </w:r>
      <w:r w:rsidR="009F3C7D" w:rsidRPr="00413D35">
        <w:t xml:space="preserve">as well as an end of </w:t>
      </w:r>
      <w:r w:rsidR="00CB506C">
        <w:t>year</w:t>
      </w:r>
      <w:r w:rsidR="009F3C7D" w:rsidRPr="00413D35">
        <w:t xml:space="preserve"> impact assessment which will inform a regional evaluation</w:t>
      </w:r>
      <w:r w:rsidR="00D612C1" w:rsidRPr="00D612C1">
        <w:t xml:space="preserve"> within 2024/25 and 2025/26.</w:t>
      </w:r>
      <w:r w:rsidR="002C295F">
        <w:t xml:space="preserve"> </w:t>
      </w:r>
      <w:r w:rsidR="005A1171" w:rsidRPr="00413D35">
        <w:t>We will provide more details on this once funding is confirmed.</w:t>
      </w:r>
      <w:r w:rsidR="005A1171">
        <w:t xml:space="preserve">  </w:t>
      </w:r>
      <w:r w:rsidR="002C295F">
        <w:t>This will include considering how the investment has:</w:t>
      </w:r>
    </w:p>
    <w:p w14:paraId="2BB61A4D" w14:textId="51E31E54" w:rsidR="00063249" w:rsidRPr="002C295F" w:rsidRDefault="00063249" w:rsidP="002573BC">
      <w:pPr>
        <w:pStyle w:val="ListParagraph"/>
        <w:numPr>
          <w:ilvl w:val="0"/>
          <w:numId w:val="30"/>
        </w:numPr>
      </w:pPr>
      <w:r w:rsidRPr="002C295F">
        <w:t>increased the provision of high-quality clinical supervision, education and assessment for all levels and types of learners within the imaging workforce.</w:t>
      </w:r>
    </w:p>
    <w:p w14:paraId="041BD225" w14:textId="1761D0DA" w:rsidR="00063249" w:rsidRPr="002C295F" w:rsidRDefault="00063249" w:rsidP="002573BC">
      <w:pPr>
        <w:pStyle w:val="ListParagraph"/>
        <w:numPr>
          <w:ilvl w:val="0"/>
          <w:numId w:val="30"/>
        </w:numPr>
      </w:pPr>
      <w:r w:rsidRPr="002C295F">
        <w:t>improved and increased the number of PE’s who have attained formal education and training in supporting clinical education.</w:t>
      </w:r>
    </w:p>
    <w:p w14:paraId="3A598492" w14:textId="780C1880" w:rsidR="00063249" w:rsidRPr="002C295F" w:rsidRDefault="00063249" w:rsidP="002573BC">
      <w:pPr>
        <w:pStyle w:val="ListParagraph"/>
        <w:numPr>
          <w:ilvl w:val="0"/>
          <w:numId w:val="30"/>
        </w:numPr>
      </w:pPr>
      <w:r w:rsidRPr="002C295F">
        <w:t xml:space="preserve">increased placement capacity for different types of learners. </w:t>
      </w:r>
    </w:p>
    <w:p w14:paraId="7AF15A76" w14:textId="5DA5B022" w:rsidR="00063249" w:rsidRDefault="00063249" w:rsidP="002573BC">
      <w:pPr>
        <w:pStyle w:val="ListParagraph"/>
        <w:numPr>
          <w:ilvl w:val="0"/>
          <w:numId w:val="30"/>
        </w:numPr>
      </w:pPr>
      <w:r w:rsidRPr="002C295F">
        <w:t>promoted and strengthened education as a career development option and choice.</w:t>
      </w:r>
    </w:p>
    <w:p w14:paraId="55F78175" w14:textId="6C8A8A40" w:rsidR="00765658" w:rsidRPr="002573BC" w:rsidRDefault="005054D7" w:rsidP="002573BC">
      <w:pPr>
        <w:pStyle w:val="ListParagraph"/>
        <w:numPr>
          <w:ilvl w:val="0"/>
          <w:numId w:val="30"/>
        </w:numPr>
        <w:rPr>
          <w:lang w:val="en-US"/>
        </w:rPr>
      </w:pPr>
      <w:r w:rsidRPr="002573BC">
        <w:rPr>
          <w:lang w:val="en-US"/>
        </w:rPr>
        <w:t>provided opportunities to support regional level strategic education and training plans through dedicated higher level PE roles.</w:t>
      </w:r>
    </w:p>
    <w:p w14:paraId="4B7109CE" w14:textId="77777777" w:rsidR="00F46A68" w:rsidRDefault="00F46A68" w:rsidP="00F46A68"/>
    <w:p w14:paraId="45C1ED37" w14:textId="640C6AFB" w:rsidR="00765658" w:rsidRPr="00C85961" w:rsidRDefault="00765658" w:rsidP="00F46A68">
      <w:r w:rsidRPr="00C85961">
        <w:t xml:space="preserve">Organisations receiving this funding to support upskilling for practice educators will be required to provide twice-yearly updates [Sept 2024 and Feb/March 2025] relating to the status of each individual learner; guidance and templates will be provided later in the year.  </w:t>
      </w:r>
    </w:p>
    <w:p w14:paraId="485F0C4B" w14:textId="77777777" w:rsidR="002F7EBE" w:rsidRDefault="002F7EBE" w:rsidP="00F46A68">
      <w:pPr>
        <w:rPr>
          <w:b/>
          <w:bCs/>
          <w:color w:val="00A9CE"/>
          <w:sz w:val="32"/>
          <w:szCs w:val="32"/>
        </w:rPr>
      </w:pPr>
    </w:p>
    <w:p w14:paraId="4BC1061F" w14:textId="77777777" w:rsidR="00E714EA" w:rsidRPr="00E714EA" w:rsidRDefault="00E714EA" w:rsidP="00E714EA">
      <w:pPr>
        <w:pStyle w:val="Heading2"/>
      </w:pPr>
      <w:r w:rsidRPr="00E714EA">
        <w:t>NHS Long Term Workforce Plan (2023)</w:t>
      </w:r>
    </w:p>
    <w:p w14:paraId="012D1A02" w14:textId="77777777" w:rsidR="00E714EA" w:rsidRPr="00E714EA" w:rsidRDefault="00E714EA" w:rsidP="00E714EA">
      <w:pPr>
        <w:jc w:val="both"/>
        <w:rPr>
          <w:rFonts w:eastAsia="Aptos" w:cs="Arial"/>
          <w:color w:val="1C1C1C"/>
          <w14:ligatures w14:val="standardContextual"/>
        </w:rPr>
      </w:pPr>
      <w:r w:rsidRPr="00E714EA">
        <w:rPr>
          <w:rFonts w:eastAsia="Aptos" w:cs="Arial"/>
          <w:color w:val="1C1C1C"/>
          <w14:ligatures w14:val="standardContextual"/>
        </w:rPr>
        <w:t xml:space="preserve">The long-awaited </w:t>
      </w:r>
      <w:hyperlink r:id="rId15" w:history="1">
        <w:r w:rsidRPr="00E714EA">
          <w:rPr>
            <w:rFonts w:eastAsia="Aptos" w:cs="Arial"/>
            <w:color w:val="0070C0"/>
            <w:u w:val="single"/>
            <w14:ligatures w14:val="standardContextual"/>
          </w:rPr>
          <w:t>NHS England Long Term Workforce Plan</w:t>
        </w:r>
      </w:hyperlink>
      <w:r w:rsidRPr="00E714EA">
        <w:rPr>
          <w:rFonts w:eastAsia="Aptos" w:cs="Arial"/>
          <w:color w:val="1C1C1C"/>
          <w14:ligatures w14:val="standardContextual"/>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4406CA89" w14:textId="77777777" w:rsidR="00DA00BB" w:rsidRPr="00E714EA" w:rsidRDefault="00DA00BB" w:rsidP="00525FA8">
      <w:pPr>
        <w:spacing w:after="24" w:line="276" w:lineRule="auto"/>
        <w:jc w:val="both"/>
        <w:rPr>
          <w:rFonts w:cs="Arial"/>
          <w:color w:val="1C1C1C"/>
        </w:rPr>
      </w:pPr>
    </w:p>
    <w:p w14:paraId="3A175A50" w14:textId="77777777" w:rsidR="00A73F62" w:rsidRPr="002C7FD2" w:rsidRDefault="00A73F62" w:rsidP="00D612C1">
      <w:pPr>
        <w:pStyle w:val="Heading2"/>
      </w:pPr>
      <w:r w:rsidRPr="002C7FD2">
        <w:t>Who to contact if you have any queries on this offer?</w:t>
      </w:r>
    </w:p>
    <w:p w14:paraId="20DB0D73" w14:textId="77777777" w:rsidR="00A73F62" w:rsidRDefault="00A73F62" w:rsidP="00A73F62">
      <w:pPr>
        <w:jc w:val="both"/>
        <w:rPr>
          <w:rFonts w:asciiTheme="minorHAnsi" w:hAnsiTheme="minorHAnsi" w:cstheme="minorHAnsi"/>
        </w:rPr>
      </w:pPr>
      <w:r w:rsidRPr="00413D35">
        <w:rPr>
          <w:rFonts w:cs="Arial"/>
          <w:iCs/>
          <w:color w:val="1C1C1C"/>
        </w:rPr>
        <w:t xml:space="preserve">The NHSE SE Cancer and Diagnostics Programme </w:t>
      </w:r>
      <w:r>
        <w:rPr>
          <w:rFonts w:cs="Arial"/>
          <w:iCs/>
        </w:rPr>
        <w:t xml:space="preserve">- </w:t>
      </w:r>
      <w:hyperlink r:id="rId16" w:history="1">
        <w:r w:rsidRPr="00A665DB">
          <w:rPr>
            <w:rStyle w:val="Hyperlink"/>
            <w:rFonts w:asciiTheme="minorHAnsi" w:hAnsiTheme="minorHAnsi" w:cstheme="minorHAnsi"/>
          </w:rPr>
          <w:t>england.canceranddiagnostics.se@nhs.net</w:t>
        </w:r>
      </w:hyperlink>
      <w:r>
        <w:rPr>
          <w:rFonts w:asciiTheme="minorHAnsi" w:hAnsiTheme="minorHAnsi" w:cstheme="minorHAnsi"/>
        </w:rPr>
        <w:t xml:space="preserve"> </w:t>
      </w:r>
    </w:p>
    <w:p w14:paraId="0E9FADBA" w14:textId="77777777" w:rsidR="00A73F62" w:rsidRDefault="00A73F62" w:rsidP="00A73F62">
      <w:pPr>
        <w:rPr>
          <w:rFonts w:asciiTheme="minorHAnsi" w:hAnsiTheme="minorHAnsi" w:cstheme="minorHAnsi"/>
        </w:rPr>
      </w:pPr>
    </w:p>
    <w:p w14:paraId="1ED86DD9" w14:textId="77777777" w:rsidR="00A73F62" w:rsidRDefault="00A73F62" w:rsidP="00A73F62">
      <w:pPr>
        <w:jc w:val="both"/>
        <w:rPr>
          <w:rFonts w:cs="Arial"/>
          <w:b/>
          <w:bCs/>
          <w:color w:val="00A9CE"/>
          <w:sz w:val="32"/>
          <w:szCs w:val="32"/>
        </w:rPr>
      </w:pPr>
    </w:p>
    <w:p w14:paraId="5B606425" w14:textId="77777777" w:rsidR="00DA00BB" w:rsidRDefault="00DA00BB" w:rsidP="00DA00BB">
      <w:pPr>
        <w:rPr>
          <w:b/>
          <w:bCs/>
          <w:color w:val="00A9CE"/>
          <w:sz w:val="36"/>
          <w:szCs w:val="36"/>
        </w:rPr>
      </w:pPr>
    </w:p>
    <w:p w14:paraId="1682EB12" w14:textId="77777777" w:rsidR="00E714EA" w:rsidRDefault="00E714EA" w:rsidP="00DA00BB">
      <w:pPr>
        <w:rPr>
          <w:b/>
          <w:bCs/>
          <w:color w:val="00A9CE"/>
          <w:sz w:val="36"/>
          <w:szCs w:val="36"/>
        </w:rPr>
      </w:pPr>
    </w:p>
    <w:p w14:paraId="63845B81" w14:textId="77777777" w:rsidR="00E714EA" w:rsidRDefault="00E714EA" w:rsidP="00DA00BB">
      <w:pPr>
        <w:rPr>
          <w:b/>
          <w:bCs/>
          <w:color w:val="00A9CE"/>
          <w:sz w:val="36"/>
          <w:szCs w:val="36"/>
        </w:rPr>
      </w:pPr>
    </w:p>
    <w:p w14:paraId="7FB7E6AA" w14:textId="77777777" w:rsidR="00E714EA" w:rsidRDefault="00E714EA" w:rsidP="00DA00BB">
      <w:pPr>
        <w:rPr>
          <w:b/>
          <w:bCs/>
          <w:color w:val="00A9CE"/>
          <w:sz w:val="36"/>
          <w:szCs w:val="36"/>
        </w:rPr>
      </w:pPr>
    </w:p>
    <w:p w14:paraId="55F40749" w14:textId="77777777" w:rsidR="00E714EA" w:rsidRDefault="00E714EA" w:rsidP="00DA00BB">
      <w:pPr>
        <w:rPr>
          <w:b/>
          <w:bCs/>
          <w:color w:val="00A9CE"/>
          <w:sz w:val="36"/>
          <w:szCs w:val="36"/>
        </w:rPr>
      </w:pPr>
    </w:p>
    <w:p w14:paraId="5BDE00CE" w14:textId="77777777" w:rsidR="00E714EA" w:rsidRDefault="00E714EA" w:rsidP="00DA00BB">
      <w:pPr>
        <w:rPr>
          <w:b/>
          <w:bCs/>
          <w:color w:val="00A9CE"/>
          <w:sz w:val="36"/>
          <w:szCs w:val="36"/>
        </w:rPr>
      </w:pPr>
    </w:p>
    <w:p w14:paraId="0080E12F" w14:textId="77777777" w:rsidR="00E714EA" w:rsidRDefault="00E714EA" w:rsidP="00DA00BB">
      <w:pPr>
        <w:rPr>
          <w:b/>
          <w:bCs/>
          <w:color w:val="00A9CE"/>
          <w:sz w:val="36"/>
          <w:szCs w:val="36"/>
        </w:rPr>
      </w:pPr>
    </w:p>
    <w:p w14:paraId="4B56904F" w14:textId="77777777" w:rsidR="00E714EA" w:rsidRDefault="00E714EA" w:rsidP="00DA00BB">
      <w:pPr>
        <w:rPr>
          <w:b/>
          <w:bCs/>
          <w:color w:val="00A9CE"/>
          <w:sz w:val="36"/>
          <w:szCs w:val="36"/>
        </w:rPr>
      </w:pPr>
    </w:p>
    <w:p w14:paraId="2FE5153A" w14:textId="77777777" w:rsidR="00DA00BB" w:rsidRDefault="00DA00BB" w:rsidP="00DA00BB">
      <w:pPr>
        <w:rPr>
          <w:b/>
          <w:bCs/>
          <w:color w:val="00A9CE"/>
          <w:sz w:val="36"/>
          <w:szCs w:val="36"/>
        </w:rPr>
      </w:pPr>
    </w:p>
    <w:p w14:paraId="33E7F658" w14:textId="77777777" w:rsidR="00D612C1" w:rsidRDefault="00D612C1" w:rsidP="00DA00BB">
      <w:pPr>
        <w:rPr>
          <w:b/>
          <w:bCs/>
          <w:color w:val="00A9CE"/>
          <w:sz w:val="36"/>
          <w:szCs w:val="36"/>
        </w:rPr>
      </w:pPr>
    </w:p>
    <w:p w14:paraId="49A94A03" w14:textId="77777777" w:rsidR="002107DA" w:rsidRDefault="002107DA" w:rsidP="00DA00BB">
      <w:pPr>
        <w:rPr>
          <w:b/>
          <w:bCs/>
          <w:color w:val="00A9CE"/>
          <w:sz w:val="36"/>
          <w:szCs w:val="36"/>
        </w:rPr>
      </w:pPr>
    </w:p>
    <w:p w14:paraId="0C939995" w14:textId="5CFBF9C1" w:rsidR="00DA00BB" w:rsidRPr="00671357" w:rsidRDefault="00DA00BB" w:rsidP="00DA00BB">
      <w:pPr>
        <w:rPr>
          <w:rFonts w:asciiTheme="minorHAnsi" w:hAnsiTheme="minorHAnsi" w:cstheme="minorHAnsi"/>
        </w:rPr>
      </w:pPr>
      <w:r w:rsidRPr="00E37D39">
        <w:rPr>
          <w:b/>
          <w:bCs/>
          <w:color w:val="00A9CE"/>
          <w:sz w:val="36"/>
          <w:szCs w:val="36"/>
        </w:rPr>
        <w:t xml:space="preserve">Frequently Asked Questions </w:t>
      </w:r>
    </w:p>
    <w:p w14:paraId="15779EEE" w14:textId="77777777" w:rsidR="00DA00BB" w:rsidRDefault="00DA00BB" w:rsidP="00DA00BB">
      <w:pPr>
        <w:jc w:val="both"/>
        <w:rPr>
          <w:b/>
          <w:bCs/>
          <w:color w:val="00A9CE"/>
          <w:sz w:val="36"/>
          <w:szCs w:val="36"/>
        </w:rPr>
      </w:pPr>
    </w:p>
    <w:tbl>
      <w:tblPr>
        <w:tblStyle w:val="TableGrid"/>
        <w:tblW w:w="0" w:type="auto"/>
        <w:tblLook w:val="04A0" w:firstRow="1" w:lastRow="0" w:firstColumn="1" w:lastColumn="0" w:noHBand="0" w:noVBand="1"/>
      </w:tblPr>
      <w:tblGrid>
        <w:gridCol w:w="704"/>
        <w:gridCol w:w="3260"/>
        <w:gridCol w:w="6224"/>
      </w:tblGrid>
      <w:tr w:rsidR="00DA00BB" w:rsidRPr="00334EDD" w14:paraId="11139722" w14:textId="77777777" w:rsidTr="00F65D85">
        <w:trPr>
          <w:trHeight w:val="682"/>
        </w:trPr>
        <w:tc>
          <w:tcPr>
            <w:tcW w:w="3964" w:type="dxa"/>
            <w:gridSpan w:val="2"/>
            <w:shd w:val="clear" w:color="auto" w:fill="002060"/>
            <w:vAlign w:val="center"/>
          </w:tcPr>
          <w:p w14:paraId="2918DF79" w14:textId="77777777" w:rsidR="00DA00BB" w:rsidRPr="00334EDD" w:rsidRDefault="00DA00BB" w:rsidP="00F65D85">
            <w:pPr>
              <w:jc w:val="both"/>
              <w:rPr>
                <w:b/>
                <w:bCs/>
                <w:color w:val="FFFFFF" w:themeColor="background1"/>
                <w:sz w:val="24"/>
                <w:szCs w:val="24"/>
              </w:rPr>
            </w:pPr>
            <w:r w:rsidRPr="00334EDD">
              <w:rPr>
                <w:b/>
                <w:bCs/>
                <w:color w:val="FFFFFF" w:themeColor="background1"/>
                <w:sz w:val="24"/>
                <w:szCs w:val="24"/>
              </w:rPr>
              <w:t>Question</w:t>
            </w:r>
          </w:p>
        </w:tc>
        <w:tc>
          <w:tcPr>
            <w:tcW w:w="6224" w:type="dxa"/>
            <w:shd w:val="clear" w:color="auto" w:fill="002060"/>
            <w:vAlign w:val="center"/>
          </w:tcPr>
          <w:p w14:paraId="3A420055" w14:textId="77777777" w:rsidR="00DA00BB" w:rsidRPr="00334EDD" w:rsidRDefault="00DA00BB" w:rsidP="00F65D85">
            <w:pPr>
              <w:jc w:val="both"/>
              <w:rPr>
                <w:b/>
                <w:bCs/>
                <w:color w:val="FFFFFF" w:themeColor="background1"/>
                <w:sz w:val="24"/>
                <w:szCs w:val="24"/>
              </w:rPr>
            </w:pPr>
            <w:r w:rsidRPr="00334EDD">
              <w:rPr>
                <w:b/>
                <w:bCs/>
                <w:color w:val="FFFFFF" w:themeColor="background1"/>
                <w:sz w:val="24"/>
                <w:szCs w:val="24"/>
              </w:rPr>
              <w:t xml:space="preserve">Response </w:t>
            </w:r>
          </w:p>
        </w:tc>
      </w:tr>
      <w:tr w:rsidR="00DA00BB" w:rsidRPr="00334EDD" w14:paraId="49C07905" w14:textId="77777777" w:rsidTr="00F65D85">
        <w:tc>
          <w:tcPr>
            <w:tcW w:w="704" w:type="dxa"/>
          </w:tcPr>
          <w:p w14:paraId="3799B1D8" w14:textId="4BD83609" w:rsidR="00DA00BB" w:rsidRPr="00F46A68" w:rsidRDefault="000E4E94" w:rsidP="00F65D85">
            <w:pPr>
              <w:jc w:val="both"/>
              <w:rPr>
                <w:color w:val="333333"/>
                <w:sz w:val="24"/>
                <w:szCs w:val="24"/>
              </w:rPr>
            </w:pPr>
            <w:r w:rsidRPr="00F46A68">
              <w:rPr>
                <w:color w:val="333333"/>
                <w:sz w:val="24"/>
                <w:szCs w:val="24"/>
              </w:rPr>
              <w:t>1</w:t>
            </w:r>
          </w:p>
        </w:tc>
        <w:tc>
          <w:tcPr>
            <w:tcW w:w="3260" w:type="dxa"/>
          </w:tcPr>
          <w:p w14:paraId="1E4871AE" w14:textId="3EEA9B5B" w:rsidR="00DA00BB" w:rsidRPr="002107DA" w:rsidRDefault="00DA00BB" w:rsidP="00F65D85">
            <w:pPr>
              <w:rPr>
                <w:sz w:val="24"/>
                <w:szCs w:val="24"/>
              </w:rPr>
            </w:pPr>
            <w:r w:rsidRPr="002107DA">
              <w:rPr>
                <w:sz w:val="24"/>
                <w:szCs w:val="24"/>
              </w:rPr>
              <w:t xml:space="preserve">Can the funding be used to extend existing PEs post [funded by </w:t>
            </w:r>
            <w:r w:rsidR="00BD41DA" w:rsidRPr="002107DA">
              <w:rPr>
                <w:sz w:val="24"/>
                <w:szCs w:val="24"/>
              </w:rPr>
              <w:t>NHSE</w:t>
            </w:r>
            <w:r w:rsidRPr="002107DA">
              <w:rPr>
                <w:sz w:val="24"/>
                <w:szCs w:val="24"/>
              </w:rPr>
              <w:t xml:space="preserve"> in 2</w:t>
            </w:r>
            <w:r w:rsidR="00BD41DA" w:rsidRPr="002107DA">
              <w:rPr>
                <w:sz w:val="24"/>
                <w:szCs w:val="24"/>
              </w:rPr>
              <w:t>3/24</w:t>
            </w:r>
            <w:r w:rsidRPr="002107DA">
              <w:rPr>
                <w:sz w:val="24"/>
                <w:szCs w:val="24"/>
              </w:rPr>
              <w:t>]</w:t>
            </w:r>
          </w:p>
          <w:p w14:paraId="5C3DDB41" w14:textId="77777777" w:rsidR="00DA00BB" w:rsidRPr="002107DA" w:rsidRDefault="00DA00BB" w:rsidP="00F65D85">
            <w:pPr>
              <w:rPr>
                <w:sz w:val="24"/>
                <w:szCs w:val="24"/>
              </w:rPr>
            </w:pPr>
          </w:p>
        </w:tc>
        <w:tc>
          <w:tcPr>
            <w:tcW w:w="6224" w:type="dxa"/>
          </w:tcPr>
          <w:p w14:paraId="4F6D8778" w14:textId="77777777" w:rsidR="00DA00BB" w:rsidRDefault="00DA00BB" w:rsidP="00F65D85">
            <w:pPr>
              <w:rPr>
                <w:sz w:val="24"/>
                <w:szCs w:val="24"/>
              </w:rPr>
            </w:pPr>
            <w:r w:rsidRPr="002107DA">
              <w:rPr>
                <w:sz w:val="24"/>
                <w:szCs w:val="24"/>
              </w:rPr>
              <w:t xml:space="preserve">Yes, funding can be used to support existing </w:t>
            </w:r>
            <w:r w:rsidR="00A73F62" w:rsidRPr="002107DA">
              <w:rPr>
                <w:sz w:val="24"/>
                <w:szCs w:val="24"/>
              </w:rPr>
              <w:t>PEs</w:t>
            </w:r>
            <w:r w:rsidR="002573BC">
              <w:rPr>
                <w:sz w:val="24"/>
                <w:szCs w:val="24"/>
              </w:rPr>
              <w:t>.</w:t>
            </w:r>
          </w:p>
          <w:p w14:paraId="7B98D3FE" w14:textId="77777777" w:rsidR="002573BC" w:rsidRDefault="002573BC" w:rsidP="00F65D85">
            <w:pPr>
              <w:rPr>
                <w:sz w:val="24"/>
                <w:szCs w:val="24"/>
              </w:rPr>
            </w:pPr>
          </w:p>
          <w:p w14:paraId="5CBF55D7" w14:textId="77777777" w:rsidR="002573BC" w:rsidRPr="00914F4D" w:rsidRDefault="002573BC" w:rsidP="002573BC">
            <w:pPr>
              <w:rPr>
                <w:rFonts w:cs="Arial"/>
                <w:color w:val="1C1C1C"/>
                <w:sz w:val="23"/>
                <w:szCs w:val="23"/>
                <w:lang w:val="en-US"/>
              </w:rPr>
            </w:pPr>
            <w:r>
              <w:rPr>
                <w:rFonts w:cs="Arial"/>
                <w:b/>
                <w:bCs/>
                <w:color w:val="1C1C1C"/>
                <w:sz w:val="23"/>
                <w:szCs w:val="23"/>
                <w:lang w:val="en-US"/>
              </w:rPr>
              <w:t>Please kindly note - s</w:t>
            </w:r>
            <w:r w:rsidRPr="00D016E2">
              <w:rPr>
                <w:rFonts w:cs="Arial"/>
                <w:b/>
                <w:bCs/>
                <w:color w:val="1C1C1C"/>
                <w:sz w:val="23"/>
                <w:szCs w:val="23"/>
                <w:lang w:val="en-US"/>
              </w:rPr>
              <w:t>eparate discussions are taking place regarding continuation of existing practice educators who are working directly with NHSE in specific areas and those roles are not included within this guidance</w:t>
            </w:r>
            <w:r>
              <w:rPr>
                <w:rFonts w:cs="Arial"/>
                <w:b/>
                <w:bCs/>
                <w:color w:val="1C1C1C"/>
                <w:sz w:val="23"/>
                <w:szCs w:val="23"/>
                <w:lang w:val="en-US"/>
              </w:rPr>
              <w:t xml:space="preserve"> or funding offer.</w:t>
            </w:r>
          </w:p>
          <w:p w14:paraId="4C112B8C" w14:textId="6009386E" w:rsidR="002573BC" w:rsidRPr="002107DA" w:rsidRDefault="002573BC" w:rsidP="00F65D85">
            <w:pPr>
              <w:rPr>
                <w:sz w:val="24"/>
                <w:szCs w:val="24"/>
              </w:rPr>
            </w:pPr>
          </w:p>
        </w:tc>
      </w:tr>
      <w:tr w:rsidR="00DA00BB" w:rsidRPr="00334EDD" w14:paraId="50EB57B1" w14:textId="77777777" w:rsidTr="00F65D85">
        <w:tc>
          <w:tcPr>
            <w:tcW w:w="704" w:type="dxa"/>
          </w:tcPr>
          <w:p w14:paraId="20600FB2" w14:textId="409DD06F" w:rsidR="00DA00BB" w:rsidRPr="00F46A68" w:rsidRDefault="000E4E94" w:rsidP="00F65D85">
            <w:pPr>
              <w:jc w:val="both"/>
              <w:rPr>
                <w:color w:val="333333"/>
                <w:sz w:val="24"/>
                <w:szCs w:val="24"/>
              </w:rPr>
            </w:pPr>
            <w:r w:rsidRPr="00F46A68">
              <w:rPr>
                <w:color w:val="333333"/>
                <w:sz w:val="24"/>
                <w:szCs w:val="24"/>
              </w:rPr>
              <w:t>2</w:t>
            </w:r>
          </w:p>
        </w:tc>
        <w:tc>
          <w:tcPr>
            <w:tcW w:w="3260" w:type="dxa"/>
          </w:tcPr>
          <w:p w14:paraId="2046DDA2" w14:textId="1C15F651" w:rsidR="00DA00BB" w:rsidRPr="002107DA" w:rsidRDefault="00DA00BB" w:rsidP="00F65D85">
            <w:pPr>
              <w:rPr>
                <w:sz w:val="24"/>
                <w:szCs w:val="24"/>
              </w:rPr>
            </w:pPr>
            <w:r w:rsidRPr="002107DA">
              <w:rPr>
                <w:sz w:val="24"/>
                <w:szCs w:val="24"/>
              </w:rPr>
              <w:t>Can we appoint to 12-month posts, and can funding be carried forward into 202</w:t>
            </w:r>
            <w:r w:rsidR="00823A6F" w:rsidRPr="002107DA">
              <w:rPr>
                <w:sz w:val="24"/>
                <w:szCs w:val="24"/>
              </w:rPr>
              <w:t>5</w:t>
            </w:r>
            <w:r w:rsidRPr="002107DA">
              <w:rPr>
                <w:sz w:val="24"/>
                <w:szCs w:val="24"/>
              </w:rPr>
              <w:t>/2</w:t>
            </w:r>
            <w:r w:rsidR="00823A6F" w:rsidRPr="002107DA">
              <w:rPr>
                <w:sz w:val="24"/>
                <w:szCs w:val="24"/>
              </w:rPr>
              <w:t>6</w:t>
            </w:r>
            <w:r w:rsidRPr="002107DA">
              <w:rPr>
                <w:sz w:val="24"/>
                <w:szCs w:val="24"/>
              </w:rPr>
              <w:t xml:space="preserve">? </w:t>
            </w:r>
          </w:p>
        </w:tc>
        <w:tc>
          <w:tcPr>
            <w:tcW w:w="6224" w:type="dxa"/>
          </w:tcPr>
          <w:p w14:paraId="59B14BA5" w14:textId="2C7678A8" w:rsidR="00DA00BB" w:rsidRPr="002107DA" w:rsidRDefault="00DA00BB" w:rsidP="00F65D85">
            <w:pPr>
              <w:rPr>
                <w:sz w:val="24"/>
                <w:szCs w:val="24"/>
              </w:rPr>
            </w:pPr>
            <w:r w:rsidRPr="002107DA">
              <w:rPr>
                <w:sz w:val="24"/>
                <w:szCs w:val="24"/>
              </w:rPr>
              <w:t>No. Funding must be fully utilised within the 202</w:t>
            </w:r>
            <w:r w:rsidR="00823A6F" w:rsidRPr="002107DA">
              <w:rPr>
                <w:sz w:val="24"/>
                <w:szCs w:val="24"/>
              </w:rPr>
              <w:t>4</w:t>
            </w:r>
            <w:r w:rsidRPr="002107DA">
              <w:rPr>
                <w:sz w:val="24"/>
                <w:szCs w:val="24"/>
              </w:rPr>
              <w:t>/2</w:t>
            </w:r>
            <w:r w:rsidR="00823A6F" w:rsidRPr="002107DA">
              <w:rPr>
                <w:sz w:val="24"/>
                <w:szCs w:val="24"/>
              </w:rPr>
              <w:t>5</w:t>
            </w:r>
            <w:r w:rsidRPr="002107DA">
              <w:rPr>
                <w:sz w:val="24"/>
                <w:szCs w:val="24"/>
              </w:rPr>
              <w:t xml:space="preserve"> financial year. This means that individuals starting in post e.g., in </w:t>
            </w:r>
            <w:r w:rsidR="00823A6F" w:rsidRPr="002107DA">
              <w:rPr>
                <w:sz w:val="24"/>
                <w:szCs w:val="24"/>
              </w:rPr>
              <w:t>September 2024</w:t>
            </w:r>
            <w:r w:rsidRPr="002107DA">
              <w:rPr>
                <w:sz w:val="24"/>
                <w:szCs w:val="24"/>
              </w:rPr>
              <w:t xml:space="preserve">, with Trusts requesting salary, would only receive </w:t>
            </w:r>
            <w:r w:rsidR="00D15132" w:rsidRPr="002107DA">
              <w:rPr>
                <w:sz w:val="24"/>
                <w:szCs w:val="24"/>
              </w:rPr>
              <w:t>six</w:t>
            </w:r>
            <w:r w:rsidRPr="002107DA">
              <w:rPr>
                <w:sz w:val="24"/>
                <w:szCs w:val="24"/>
              </w:rPr>
              <w:t xml:space="preserve"> months equivalent funding</w:t>
            </w:r>
          </w:p>
          <w:p w14:paraId="01AFD0D6" w14:textId="77777777" w:rsidR="00DA00BB" w:rsidRPr="002107DA" w:rsidRDefault="00DA00BB" w:rsidP="00F65D85">
            <w:pPr>
              <w:rPr>
                <w:sz w:val="24"/>
                <w:szCs w:val="24"/>
              </w:rPr>
            </w:pPr>
          </w:p>
        </w:tc>
      </w:tr>
      <w:tr w:rsidR="00DA00BB" w:rsidRPr="00334EDD" w14:paraId="05C0B37F" w14:textId="77777777" w:rsidTr="00F65D85">
        <w:tc>
          <w:tcPr>
            <w:tcW w:w="704" w:type="dxa"/>
          </w:tcPr>
          <w:p w14:paraId="1F75F961" w14:textId="01521203" w:rsidR="00DA00BB" w:rsidRPr="00F46A68" w:rsidRDefault="000E4E94" w:rsidP="00F65D85">
            <w:pPr>
              <w:jc w:val="both"/>
              <w:rPr>
                <w:color w:val="333333"/>
                <w:sz w:val="24"/>
                <w:szCs w:val="24"/>
              </w:rPr>
            </w:pPr>
            <w:r w:rsidRPr="00F46A68">
              <w:rPr>
                <w:color w:val="333333"/>
                <w:sz w:val="24"/>
                <w:szCs w:val="24"/>
              </w:rPr>
              <w:t>3</w:t>
            </w:r>
          </w:p>
        </w:tc>
        <w:tc>
          <w:tcPr>
            <w:tcW w:w="3260" w:type="dxa"/>
          </w:tcPr>
          <w:p w14:paraId="0BECBA56" w14:textId="77777777" w:rsidR="00DA00BB" w:rsidRPr="002107DA" w:rsidRDefault="00DA00BB" w:rsidP="00F65D85">
            <w:pPr>
              <w:rPr>
                <w:sz w:val="24"/>
                <w:szCs w:val="24"/>
              </w:rPr>
            </w:pPr>
            <w:r w:rsidRPr="002107DA">
              <w:rPr>
                <w:sz w:val="24"/>
                <w:szCs w:val="24"/>
              </w:rPr>
              <w:t>Can we use the funding to purchase kit or equipment?</w:t>
            </w:r>
          </w:p>
          <w:p w14:paraId="13B51C48" w14:textId="77777777" w:rsidR="00DA00BB" w:rsidRPr="002107DA" w:rsidRDefault="00DA00BB" w:rsidP="00F65D85">
            <w:pPr>
              <w:rPr>
                <w:sz w:val="24"/>
                <w:szCs w:val="24"/>
              </w:rPr>
            </w:pPr>
          </w:p>
        </w:tc>
        <w:tc>
          <w:tcPr>
            <w:tcW w:w="6224" w:type="dxa"/>
          </w:tcPr>
          <w:p w14:paraId="260AC1FC" w14:textId="77777777" w:rsidR="00DA00BB" w:rsidRPr="002107DA" w:rsidRDefault="00DA00BB" w:rsidP="00F65D85">
            <w:pPr>
              <w:rPr>
                <w:sz w:val="24"/>
                <w:szCs w:val="24"/>
              </w:rPr>
            </w:pPr>
            <w:r w:rsidRPr="002107DA">
              <w:rPr>
                <w:sz w:val="24"/>
                <w:szCs w:val="24"/>
              </w:rPr>
              <w:t xml:space="preserve">No, the funding can’t be used to purchase kit or equipment </w:t>
            </w:r>
          </w:p>
        </w:tc>
      </w:tr>
      <w:tr w:rsidR="00DA00BB" w:rsidRPr="00334EDD" w14:paraId="47059D82" w14:textId="77777777" w:rsidTr="00F65D85">
        <w:tc>
          <w:tcPr>
            <w:tcW w:w="704" w:type="dxa"/>
          </w:tcPr>
          <w:p w14:paraId="4CB2C589" w14:textId="4489AED8" w:rsidR="00DA00BB" w:rsidRPr="00F46A68" w:rsidRDefault="000E4E94" w:rsidP="00F65D85">
            <w:pPr>
              <w:jc w:val="both"/>
              <w:rPr>
                <w:color w:val="333333"/>
                <w:sz w:val="24"/>
                <w:szCs w:val="24"/>
              </w:rPr>
            </w:pPr>
            <w:r w:rsidRPr="00F46A68">
              <w:rPr>
                <w:color w:val="333333"/>
                <w:sz w:val="24"/>
                <w:szCs w:val="24"/>
              </w:rPr>
              <w:t>4</w:t>
            </w:r>
          </w:p>
        </w:tc>
        <w:tc>
          <w:tcPr>
            <w:tcW w:w="3260" w:type="dxa"/>
          </w:tcPr>
          <w:p w14:paraId="0150EDAB" w14:textId="77777777" w:rsidR="00DA00BB" w:rsidRPr="00F46A68" w:rsidRDefault="00DA00BB" w:rsidP="00F65D85">
            <w:pPr>
              <w:rPr>
                <w:rFonts w:cstheme="minorHAnsi"/>
                <w:sz w:val="24"/>
                <w:szCs w:val="24"/>
              </w:rPr>
            </w:pPr>
            <w:r w:rsidRPr="00F46A68">
              <w:rPr>
                <w:rFonts w:cstheme="minorHAnsi"/>
                <w:sz w:val="24"/>
                <w:szCs w:val="24"/>
              </w:rPr>
              <w:t>Please could you give some examples of existing Practice Education programmes?</w:t>
            </w:r>
          </w:p>
        </w:tc>
        <w:tc>
          <w:tcPr>
            <w:tcW w:w="6224" w:type="dxa"/>
          </w:tcPr>
          <w:p w14:paraId="18BA64E2" w14:textId="77777777" w:rsidR="00DA00BB" w:rsidRPr="00F46A68" w:rsidRDefault="00DA00BB" w:rsidP="00F46A68">
            <w:pPr>
              <w:pStyle w:val="ListParagraph"/>
              <w:numPr>
                <w:ilvl w:val="0"/>
                <w:numId w:val="28"/>
              </w:numPr>
              <w:rPr>
                <w:sz w:val="24"/>
                <w:szCs w:val="24"/>
              </w:rPr>
            </w:pPr>
            <w:r w:rsidRPr="00F46A68">
              <w:rPr>
                <w:color w:val="333333"/>
                <w:sz w:val="24"/>
                <w:szCs w:val="24"/>
              </w:rPr>
              <w:t xml:space="preserve">Bucks New University </w:t>
            </w:r>
            <w:r w:rsidRPr="00F46A68">
              <w:rPr>
                <w:sz w:val="24"/>
                <w:szCs w:val="24"/>
              </w:rPr>
              <w:t xml:space="preserve">– </w:t>
            </w:r>
            <w:hyperlink r:id="rId17" w:history="1">
              <w:r w:rsidRPr="00F46A68">
                <w:rPr>
                  <w:rStyle w:val="Hyperlink"/>
                  <w:sz w:val="24"/>
                  <w:szCs w:val="24"/>
                </w:rPr>
                <w:t>Practice Education PG Cert</w:t>
              </w:r>
            </w:hyperlink>
            <w:r w:rsidRPr="00F46A68">
              <w:rPr>
                <w:sz w:val="24"/>
                <w:szCs w:val="24"/>
              </w:rPr>
              <w:t xml:space="preserve"> </w:t>
            </w:r>
          </w:p>
          <w:p w14:paraId="41BCE893" w14:textId="77777777" w:rsidR="00DA00BB" w:rsidRPr="00F46A68" w:rsidRDefault="00DA00BB" w:rsidP="00F46A68">
            <w:pPr>
              <w:pStyle w:val="ListParagraph"/>
              <w:numPr>
                <w:ilvl w:val="0"/>
                <w:numId w:val="28"/>
              </w:numPr>
              <w:rPr>
                <w:sz w:val="24"/>
                <w:szCs w:val="24"/>
              </w:rPr>
            </w:pPr>
            <w:r w:rsidRPr="00F46A68">
              <w:rPr>
                <w:color w:val="333333"/>
                <w:sz w:val="24"/>
                <w:szCs w:val="24"/>
              </w:rPr>
              <w:t>University of Surrey</w:t>
            </w:r>
            <w:r w:rsidRPr="00F46A68">
              <w:rPr>
                <w:sz w:val="24"/>
                <w:szCs w:val="24"/>
              </w:rPr>
              <w:t xml:space="preserve"> – </w:t>
            </w:r>
            <w:hyperlink r:id="rId18" w:history="1">
              <w:r w:rsidRPr="00F46A68">
                <w:rPr>
                  <w:rStyle w:val="Hyperlink"/>
                  <w:sz w:val="24"/>
                  <w:szCs w:val="24"/>
                </w:rPr>
                <w:t>Education for Health Professionals PG Cert</w:t>
              </w:r>
            </w:hyperlink>
            <w:r w:rsidRPr="00F46A68">
              <w:rPr>
                <w:sz w:val="24"/>
                <w:szCs w:val="24"/>
              </w:rPr>
              <w:t xml:space="preserve"> </w:t>
            </w:r>
          </w:p>
          <w:p w14:paraId="073336C5" w14:textId="77777777" w:rsidR="00DA00BB" w:rsidRPr="00F46A68" w:rsidRDefault="00DA00BB" w:rsidP="00F46A68">
            <w:pPr>
              <w:pStyle w:val="ListParagraph"/>
              <w:numPr>
                <w:ilvl w:val="0"/>
                <w:numId w:val="28"/>
              </w:numPr>
              <w:rPr>
                <w:sz w:val="24"/>
                <w:szCs w:val="24"/>
              </w:rPr>
            </w:pPr>
            <w:r w:rsidRPr="00F46A68">
              <w:rPr>
                <w:color w:val="333333"/>
                <w:sz w:val="24"/>
                <w:szCs w:val="24"/>
              </w:rPr>
              <w:t>University of Brighton</w:t>
            </w:r>
            <w:r w:rsidRPr="00F46A68">
              <w:rPr>
                <w:sz w:val="24"/>
                <w:szCs w:val="24"/>
              </w:rPr>
              <w:t xml:space="preserve"> – </w:t>
            </w:r>
            <w:hyperlink r:id="rId19" w:history="1">
              <w:r w:rsidRPr="00F46A68">
                <w:rPr>
                  <w:rStyle w:val="Hyperlink"/>
                  <w:sz w:val="24"/>
                  <w:szCs w:val="24"/>
                </w:rPr>
                <w:t>Leading Practice Education PG Cert</w:t>
              </w:r>
            </w:hyperlink>
          </w:p>
          <w:p w14:paraId="52C8D9D0" w14:textId="77777777" w:rsidR="00DA00BB" w:rsidRPr="00F46A68" w:rsidRDefault="00DA00BB" w:rsidP="00F46A68">
            <w:pPr>
              <w:pStyle w:val="ListParagraph"/>
              <w:numPr>
                <w:ilvl w:val="0"/>
                <w:numId w:val="28"/>
              </w:numPr>
              <w:rPr>
                <w:sz w:val="24"/>
                <w:szCs w:val="24"/>
              </w:rPr>
            </w:pPr>
            <w:r w:rsidRPr="00F46A68">
              <w:rPr>
                <w:color w:val="333333"/>
                <w:sz w:val="24"/>
                <w:szCs w:val="24"/>
              </w:rPr>
              <w:t>University of Winchester</w:t>
            </w:r>
            <w:r w:rsidRPr="00F46A68">
              <w:rPr>
                <w:sz w:val="24"/>
                <w:szCs w:val="24"/>
              </w:rPr>
              <w:t xml:space="preserve"> – </w:t>
            </w:r>
            <w:hyperlink r:id="rId20" w:history="1">
              <w:r w:rsidRPr="00F46A68">
                <w:rPr>
                  <w:rStyle w:val="Hyperlink"/>
                  <w:sz w:val="24"/>
                  <w:szCs w:val="24"/>
                </w:rPr>
                <w:t>Practice Education (distance) PG Cert</w:t>
              </w:r>
            </w:hyperlink>
            <w:r w:rsidRPr="00F46A68">
              <w:rPr>
                <w:sz w:val="24"/>
                <w:szCs w:val="24"/>
              </w:rPr>
              <w:t xml:space="preserve"> </w:t>
            </w:r>
          </w:p>
          <w:p w14:paraId="7E58EDE1" w14:textId="77777777" w:rsidR="00DA00BB" w:rsidRPr="00F46A68" w:rsidRDefault="00DA00BB" w:rsidP="00F46A68">
            <w:pPr>
              <w:pStyle w:val="ListParagraph"/>
              <w:numPr>
                <w:ilvl w:val="0"/>
                <w:numId w:val="28"/>
              </w:numPr>
              <w:rPr>
                <w:sz w:val="24"/>
                <w:szCs w:val="24"/>
              </w:rPr>
            </w:pPr>
            <w:r w:rsidRPr="00F46A68">
              <w:rPr>
                <w:color w:val="333333"/>
                <w:sz w:val="24"/>
                <w:szCs w:val="24"/>
              </w:rPr>
              <w:t>University of Reading</w:t>
            </w:r>
            <w:r w:rsidRPr="00F46A68">
              <w:rPr>
                <w:sz w:val="24"/>
                <w:szCs w:val="24"/>
              </w:rPr>
              <w:t xml:space="preserve"> – </w:t>
            </w:r>
            <w:hyperlink r:id="rId21" w:history="1">
              <w:r w:rsidRPr="00F46A68">
                <w:rPr>
                  <w:rStyle w:val="Hyperlink"/>
                  <w:sz w:val="24"/>
                  <w:szCs w:val="24"/>
                </w:rPr>
                <w:t>Healthcare Education – PG Cert</w:t>
              </w:r>
            </w:hyperlink>
            <w:r w:rsidRPr="00F46A68">
              <w:rPr>
                <w:sz w:val="24"/>
                <w:szCs w:val="24"/>
              </w:rPr>
              <w:t xml:space="preserve"> </w:t>
            </w:r>
          </w:p>
          <w:p w14:paraId="68F62C12" w14:textId="416E584C" w:rsidR="00DA00BB" w:rsidRPr="00F46A68" w:rsidRDefault="00DA00BB" w:rsidP="00F65D85">
            <w:pPr>
              <w:rPr>
                <w:color w:val="333333"/>
                <w:sz w:val="24"/>
                <w:szCs w:val="24"/>
              </w:rPr>
            </w:pPr>
          </w:p>
        </w:tc>
      </w:tr>
      <w:tr w:rsidR="005124DE" w:rsidRPr="002573BC" w14:paraId="65577F71" w14:textId="77777777" w:rsidTr="00F65D85">
        <w:tc>
          <w:tcPr>
            <w:tcW w:w="704" w:type="dxa"/>
          </w:tcPr>
          <w:p w14:paraId="06FED140" w14:textId="77777777" w:rsidR="005124DE" w:rsidRPr="002573BC" w:rsidRDefault="005124DE" w:rsidP="00F65D85">
            <w:pPr>
              <w:jc w:val="both"/>
              <w:rPr>
                <w:color w:val="333333"/>
                <w:sz w:val="24"/>
                <w:szCs w:val="24"/>
              </w:rPr>
            </w:pPr>
          </w:p>
        </w:tc>
        <w:tc>
          <w:tcPr>
            <w:tcW w:w="3260" w:type="dxa"/>
          </w:tcPr>
          <w:p w14:paraId="78AE431D" w14:textId="041BA04C" w:rsidR="005124DE" w:rsidRPr="002573BC" w:rsidRDefault="00CA4D6C" w:rsidP="00F65D85">
            <w:pPr>
              <w:rPr>
                <w:rFonts w:cstheme="minorHAnsi"/>
                <w:sz w:val="24"/>
                <w:szCs w:val="24"/>
              </w:rPr>
            </w:pPr>
            <w:r w:rsidRPr="002573BC">
              <w:rPr>
                <w:rFonts w:cstheme="minorHAnsi"/>
                <w:sz w:val="24"/>
                <w:szCs w:val="24"/>
              </w:rPr>
              <w:t>What are the requirements of accepting this funding</w:t>
            </w:r>
          </w:p>
        </w:tc>
        <w:tc>
          <w:tcPr>
            <w:tcW w:w="6224" w:type="dxa"/>
          </w:tcPr>
          <w:p w14:paraId="753A9394" w14:textId="3A901E21" w:rsidR="00F46A68" w:rsidRPr="002573BC" w:rsidRDefault="00F46A68" w:rsidP="00F46A68">
            <w:pPr>
              <w:pStyle w:val="ListParagraph"/>
              <w:numPr>
                <w:ilvl w:val="0"/>
                <w:numId w:val="27"/>
              </w:numPr>
              <w:rPr>
                <w:sz w:val="24"/>
                <w:szCs w:val="24"/>
              </w:rPr>
            </w:pPr>
            <w:r w:rsidRPr="002573BC">
              <w:rPr>
                <w:sz w:val="24"/>
                <w:szCs w:val="24"/>
              </w:rPr>
              <w:t>All investment will be subject to reporting requirements</w:t>
            </w:r>
          </w:p>
          <w:p w14:paraId="633C8023" w14:textId="183B69CE" w:rsidR="00F46A68" w:rsidRPr="002573BC" w:rsidRDefault="00F46A68" w:rsidP="00F46A68">
            <w:pPr>
              <w:pStyle w:val="ListParagraph"/>
              <w:numPr>
                <w:ilvl w:val="0"/>
                <w:numId w:val="27"/>
              </w:numPr>
              <w:rPr>
                <w:sz w:val="24"/>
                <w:szCs w:val="24"/>
              </w:rPr>
            </w:pPr>
            <w:r w:rsidRPr="002573BC">
              <w:rPr>
                <w:sz w:val="24"/>
                <w:szCs w:val="24"/>
              </w:rPr>
              <w:t>All funding must be managed appropriately in line with individual organisation’s financial management and assurance processes</w:t>
            </w:r>
          </w:p>
          <w:p w14:paraId="50519895" w14:textId="6231DD34" w:rsidR="005124DE" w:rsidRPr="002573BC" w:rsidRDefault="00F46A68" w:rsidP="00F46A68">
            <w:pPr>
              <w:pStyle w:val="ListParagraph"/>
              <w:numPr>
                <w:ilvl w:val="0"/>
                <w:numId w:val="27"/>
              </w:numPr>
              <w:rPr>
                <w:color w:val="333333"/>
                <w:sz w:val="24"/>
                <w:szCs w:val="24"/>
              </w:rPr>
            </w:pPr>
            <w:r w:rsidRPr="002573BC">
              <w:rPr>
                <w:sz w:val="24"/>
                <w:szCs w:val="24"/>
              </w:rPr>
              <w:t>Managers must support their staff to access training.</w:t>
            </w:r>
          </w:p>
        </w:tc>
      </w:tr>
    </w:tbl>
    <w:p w14:paraId="3D785E71" w14:textId="77777777" w:rsidR="00DA00BB" w:rsidRPr="002573BC" w:rsidRDefault="00DA00BB" w:rsidP="00DA00BB">
      <w:pPr>
        <w:jc w:val="both"/>
        <w:rPr>
          <w:b/>
          <w:bCs/>
          <w:color w:val="00A9CE"/>
        </w:rPr>
      </w:pPr>
    </w:p>
    <w:p w14:paraId="4DCBE333" w14:textId="77777777" w:rsidR="00DA00BB" w:rsidRPr="00E37D39" w:rsidRDefault="00DA00BB" w:rsidP="00DA00BB">
      <w:pPr>
        <w:jc w:val="both"/>
        <w:rPr>
          <w:b/>
          <w:bCs/>
          <w:color w:val="00A9CE"/>
          <w:sz w:val="36"/>
          <w:szCs w:val="36"/>
        </w:rPr>
      </w:pPr>
    </w:p>
    <w:p w14:paraId="00886B93" w14:textId="77777777" w:rsidR="00DA00BB" w:rsidRPr="00413D35" w:rsidRDefault="00DA00BB" w:rsidP="00525FA8">
      <w:pPr>
        <w:spacing w:after="24" w:line="276" w:lineRule="auto"/>
        <w:jc w:val="both"/>
        <w:rPr>
          <w:rFonts w:cs="Arial"/>
          <w:iCs/>
          <w:color w:val="1C1C1C"/>
        </w:rPr>
      </w:pPr>
    </w:p>
    <w:p w14:paraId="6D3F5D8E" w14:textId="77777777" w:rsidR="00525FA8" w:rsidRPr="008D5581" w:rsidRDefault="00525FA8" w:rsidP="008D5581">
      <w:pPr>
        <w:rPr>
          <w:rFonts w:asciiTheme="minorHAnsi" w:hAnsiTheme="minorHAnsi" w:cstheme="minorHAnsi"/>
        </w:rPr>
      </w:pPr>
    </w:p>
    <w:sectPr w:rsidR="00525FA8" w:rsidRPr="008D5581" w:rsidSect="00CF11C2">
      <w:headerReference w:type="default" r:id="rId22"/>
      <w:footerReference w:type="even" r:id="rId23"/>
      <w:footerReference w:type="default" r:id="rId24"/>
      <w:headerReference w:type="first" r:id="rId2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B641" w14:textId="77777777" w:rsidR="00CF11C2" w:rsidRDefault="00CF11C2" w:rsidP="00AC72FD">
      <w:r>
        <w:separator/>
      </w:r>
    </w:p>
  </w:endnote>
  <w:endnote w:type="continuationSeparator" w:id="0">
    <w:p w14:paraId="76F95321" w14:textId="77777777" w:rsidR="00CF11C2" w:rsidRDefault="00CF11C2" w:rsidP="00AC72FD">
      <w:r>
        <w:continuationSeparator/>
      </w:r>
    </w:p>
  </w:endnote>
  <w:endnote w:type="continuationNotice" w:id="1">
    <w:p w14:paraId="013579A8" w14:textId="77777777" w:rsidR="00CF11C2" w:rsidRDefault="00CF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D838" w14:textId="77777777" w:rsidR="00CF11C2" w:rsidRDefault="00CF11C2" w:rsidP="00AC72FD">
      <w:r>
        <w:separator/>
      </w:r>
    </w:p>
  </w:footnote>
  <w:footnote w:type="continuationSeparator" w:id="0">
    <w:p w14:paraId="363A5A3B" w14:textId="77777777" w:rsidR="00CF11C2" w:rsidRDefault="00CF11C2" w:rsidP="00AC72FD">
      <w:r>
        <w:continuationSeparator/>
      </w:r>
    </w:p>
  </w:footnote>
  <w:footnote w:type="continuationNotice" w:id="1">
    <w:p w14:paraId="7913DF81" w14:textId="77777777" w:rsidR="00CF11C2" w:rsidRDefault="00CF1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62ABADBA" w:rsidR="00ED2809" w:rsidRPr="00AC72FD" w:rsidRDefault="005B2AA5" w:rsidP="00964AF4">
    <w:pPr>
      <w:pStyle w:val="Heading2"/>
      <w:spacing w:after="400"/>
      <w:jc w:val="right"/>
    </w:pPr>
    <w:r>
      <w:t xml:space="preserve">South East </w:t>
    </w:r>
    <w:r w:rsidR="001E2FC3">
      <w:t>Physiological Science</w:t>
    </w:r>
    <w:r w:rsidR="000F74D4">
      <w:t xml:space="preserve"> </w:t>
    </w:r>
    <w:r w:rsidR="008D5581">
      <w:t>Practice Education</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4B376EE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952"/>
    <w:multiLevelType w:val="hybridMultilevel"/>
    <w:tmpl w:val="4B92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3" w15:restartNumberingAfterBreak="0">
    <w:nsid w:val="17FB291A"/>
    <w:multiLevelType w:val="hybridMultilevel"/>
    <w:tmpl w:val="2C6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20E2"/>
    <w:multiLevelType w:val="hybridMultilevel"/>
    <w:tmpl w:val="4666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A22A0"/>
    <w:multiLevelType w:val="hybridMultilevel"/>
    <w:tmpl w:val="3F2E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40EC1"/>
    <w:multiLevelType w:val="hybridMultilevel"/>
    <w:tmpl w:val="67A0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01C94"/>
    <w:multiLevelType w:val="hybridMultilevel"/>
    <w:tmpl w:val="03F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F95DB6"/>
    <w:multiLevelType w:val="hybridMultilevel"/>
    <w:tmpl w:val="A920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12125"/>
    <w:multiLevelType w:val="hybridMultilevel"/>
    <w:tmpl w:val="9F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45085"/>
    <w:multiLevelType w:val="hybridMultilevel"/>
    <w:tmpl w:val="8E10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03390"/>
    <w:multiLevelType w:val="hybridMultilevel"/>
    <w:tmpl w:val="63A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129A1"/>
    <w:multiLevelType w:val="hybridMultilevel"/>
    <w:tmpl w:val="6C4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3163"/>
    <w:multiLevelType w:val="hybridMultilevel"/>
    <w:tmpl w:val="BF1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25305"/>
    <w:multiLevelType w:val="hybridMultilevel"/>
    <w:tmpl w:val="78F0FA4E"/>
    <w:lvl w:ilvl="0" w:tplc="24DEE0C8">
      <w:start w:val="1"/>
      <w:numFmt w:val="bullet"/>
      <w:lvlText w:val="•"/>
      <w:lvlJc w:val="left"/>
      <w:pPr>
        <w:tabs>
          <w:tab w:val="num" w:pos="720"/>
        </w:tabs>
        <w:ind w:left="720" w:hanging="360"/>
      </w:pPr>
      <w:rPr>
        <w:rFonts w:ascii="Arial" w:hAnsi="Arial" w:hint="default"/>
      </w:rPr>
    </w:lvl>
    <w:lvl w:ilvl="1" w:tplc="192873B8" w:tentative="1">
      <w:start w:val="1"/>
      <w:numFmt w:val="bullet"/>
      <w:lvlText w:val="•"/>
      <w:lvlJc w:val="left"/>
      <w:pPr>
        <w:tabs>
          <w:tab w:val="num" w:pos="1440"/>
        </w:tabs>
        <w:ind w:left="1440" w:hanging="360"/>
      </w:pPr>
      <w:rPr>
        <w:rFonts w:ascii="Arial" w:hAnsi="Arial" w:hint="default"/>
      </w:rPr>
    </w:lvl>
    <w:lvl w:ilvl="2" w:tplc="F27E4B76" w:tentative="1">
      <w:start w:val="1"/>
      <w:numFmt w:val="bullet"/>
      <w:lvlText w:val="•"/>
      <w:lvlJc w:val="left"/>
      <w:pPr>
        <w:tabs>
          <w:tab w:val="num" w:pos="2160"/>
        </w:tabs>
        <w:ind w:left="2160" w:hanging="360"/>
      </w:pPr>
      <w:rPr>
        <w:rFonts w:ascii="Arial" w:hAnsi="Arial" w:hint="default"/>
      </w:rPr>
    </w:lvl>
    <w:lvl w:ilvl="3" w:tplc="40EE7202" w:tentative="1">
      <w:start w:val="1"/>
      <w:numFmt w:val="bullet"/>
      <w:lvlText w:val="•"/>
      <w:lvlJc w:val="left"/>
      <w:pPr>
        <w:tabs>
          <w:tab w:val="num" w:pos="2880"/>
        </w:tabs>
        <w:ind w:left="2880" w:hanging="360"/>
      </w:pPr>
      <w:rPr>
        <w:rFonts w:ascii="Arial" w:hAnsi="Arial" w:hint="default"/>
      </w:rPr>
    </w:lvl>
    <w:lvl w:ilvl="4" w:tplc="4DF2D6E4" w:tentative="1">
      <w:start w:val="1"/>
      <w:numFmt w:val="bullet"/>
      <w:lvlText w:val="•"/>
      <w:lvlJc w:val="left"/>
      <w:pPr>
        <w:tabs>
          <w:tab w:val="num" w:pos="3600"/>
        </w:tabs>
        <w:ind w:left="3600" w:hanging="360"/>
      </w:pPr>
      <w:rPr>
        <w:rFonts w:ascii="Arial" w:hAnsi="Arial" w:hint="default"/>
      </w:rPr>
    </w:lvl>
    <w:lvl w:ilvl="5" w:tplc="6D0CDD28" w:tentative="1">
      <w:start w:val="1"/>
      <w:numFmt w:val="bullet"/>
      <w:lvlText w:val="•"/>
      <w:lvlJc w:val="left"/>
      <w:pPr>
        <w:tabs>
          <w:tab w:val="num" w:pos="4320"/>
        </w:tabs>
        <w:ind w:left="4320" w:hanging="360"/>
      </w:pPr>
      <w:rPr>
        <w:rFonts w:ascii="Arial" w:hAnsi="Arial" w:hint="default"/>
      </w:rPr>
    </w:lvl>
    <w:lvl w:ilvl="6" w:tplc="D6786072" w:tentative="1">
      <w:start w:val="1"/>
      <w:numFmt w:val="bullet"/>
      <w:lvlText w:val="•"/>
      <w:lvlJc w:val="left"/>
      <w:pPr>
        <w:tabs>
          <w:tab w:val="num" w:pos="5040"/>
        </w:tabs>
        <w:ind w:left="5040" w:hanging="360"/>
      </w:pPr>
      <w:rPr>
        <w:rFonts w:ascii="Arial" w:hAnsi="Arial" w:hint="default"/>
      </w:rPr>
    </w:lvl>
    <w:lvl w:ilvl="7" w:tplc="8468EA00" w:tentative="1">
      <w:start w:val="1"/>
      <w:numFmt w:val="bullet"/>
      <w:lvlText w:val="•"/>
      <w:lvlJc w:val="left"/>
      <w:pPr>
        <w:tabs>
          <w:tab w:val="num" w:pos="5760"/>
        </w:tabs>
        <w:ind w:left="5760" w:hanging="360"/>
      </w:pPr>
      <w:rPr>
        <w:rFonts w:ascii="Arial" w:hAnsi="Arial" w:hint="default"/>
      </w:rPr>
    </w:lvl>
    <w:lvl w:ilvl="8" w:tplc="9B1C11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432B02"/>
    <w:multiLevelType w:val="hybridMultilevel"/>
    <w:tmpl w:val="29840A48"/>
    <w:lvl w:ilvl="0" w:tplc="DD2EDBDA">
      <w:start w:val="1"/>
      <w:numFmt w:val="bullet"/>
      <w:lvlText w:val="•"/>
      <w:lvlJc w:val="left"/>
      <w:pPr>
        <w:tabs>
          <w:tab w:val="num" w:pos="720"/>
        </w:tabs>
        <w:ind w:left="720" w:hanging="360"/>
      </w:pPr>
      <w:rPr>
        <w:rFonts w:ascii="Arial" w:hAnsi="Arial" w:hint="default"/>
      </w:rPr>
    </w:lvl>
    <w:lvl w:ilvl="1" w:tplc="E990CCC8" w:tentative="1">
      <w:start w:val="1"/>
      <w:numFmt w:val="bullet"/>
      <w:lvlText w:val="•"/>
      <w:lvlJc w:val="left"/>
      <w:pPr>
        <w:tabs>
          <w:tab w:val="num" w:pos="1440"/>
        </w:tabs>
        <w:ind w:left="1440" w:hanging="360"/>
      </w:pPr>
      <w:rPr>
        <w:rFonts w:ascii="Arial" w:hAnsi="Arial" w:hint="default"/>
      </w:rPr>
    </w:lvl>
    <w:lvl w:ilvl="2" w:tplc="B35A1144" w:tentative="1">
      <w:start w:val="1"/>
      <w:numFmt w:val="bullet"/>
      <w:lvlText w:val="•"/>
      <w:lvlJc w:val="left"/>
      <w:pPr>
        <w:tabs>
          <w:tab w:val="num" w:pos="2160"/>
        </w:tabs>
        <w:ind w:left="2160" w:hanging="360"/>
      </w:pPr>
      <w:rPr>
        <w:rFonts w:ascii="Arial" w:hAnsi="Arial" w:hint="default"/>
      </w:rPr>
    </w:lvl>
    <w:lvl w:ilvl="3" w:tplc="CEDC70A2" w:tentative="1">
      <w:start w:val="1"/>
      <w:numFmt w:val="bullet"/>
      <w:lvlText w:val="•"/>
      <w:lvlJc w:val="left"/>
      <w:pPr>
        <w:tabs>
          <w:tab w:val="num" w:pos="2880"/>
        </w:tabs>
        <w:ind w:left="2880" w:hanging="360"/>
      </w:pPr>
      <w:rPr>
        <w:rFonts w:ascii="Arial" w:hAnsi="Arial" w:hint="default"/>
      </w:rPr>
    </w:lvl>
    <w:lvl w:ilvl="4" w:tplc="6FC65762" w:tentative="1">
      <w:start w:val="1"/>
      <w:numFmt w:val="bullet"/>
      <w:lvlText w:val="•"/>
      <w:lvlJc w:val="left"/>
      <w:pPr>
        <w:tabs>
          <w:tab w:val="num" w:pos="3600"/>
        </w:tabs>
        <w:ind w:left="3600" w:hanging="360"/>
      </w:pPr>
      <w:rPr>
        <w:rFonts w:ascii="Arial" w:hAnsi="Arial" w:hint="default"/>
      </w:rPr>
    </w:lvl>
    <w:lvl w:ilvl="5" w:tplc="B2BA18BE" w:tentative="1">
      <w:start w:val="1"/>
      <w:numFmt w:val="bullet"/>
      <w:lvlText w:val="•"/>
      <w:lvlJc w:val="left"/>
      <w:pPr>
        <w:tabs>
          <w:tab w:val="num" w:pos="4320"/>
        </w:tabs>
        <w:ind w:left="4320" w:hanging="360"/>
      </w:pPr>
      <w:rPr>
        <w:rFonts w:ascii="Arial" w:hAnsi="Arial" w:hint="default"/>
      </w:rPr>
    </w:lvl>
    <w:lvl w:ilvl="6" w:tplc="B8868920" w:tentative="1">
      <w:start w:val="1"/>
      <w:numFmt w:val="bullet"/>
      <w:lvlText w:val="•"/>
      <w:lvlJc w:val="left"/>
      <w:pPr>
        <w:tabs>
          <w:tab w:val="num" w:pos="5040"/>
        </w:tabs>
        <w:ind w:left="5040" w:hanging="360"/>
      </w:pPr>
      <w:rPr>
        <w:rFonts w:ascii="Arial" w:hAnsi="Arial" w:hint="default"/>
      </w:rPr>
    </w:lvl>
    <w:lvl w:ilvl="7" w:tplc="0CF218BA" w:tentative="1">
      <w:start w:val="1"/>
      <w:numFmt w:val="bullet"/>
      <w:lvlText w:val="•"/>
      <w:lvlJc w:val="left"/>
      <w:pPr>
        <w:tabs>
          <w:tab w:val="num" w:pos="5760"/>
        </w:tabs>
        <w:ind w:left="5760" w:hanging="360"/>
      </w:pPr>
      <w:rPr>
        <w:rFonts w:ascii="Arial" w:hAnsi="Arial" w:hint="default"/>
      </w:rPr>
    </w:lvl>
    <w:lvl w:ilvl="8" w:tplc="E9C27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05A9F"/>
    <w:multiLevelType w:val="hybridMultilevel"/>
    <w:tmpl w:val="8A9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C3BF0"/>
    <w:multiLevelType w:val="hybridMultilevel"/>
    <w:tmpl w:val="637E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15119"/>
    <w:multiLevelType w:val="hybridMultilevel"/>
    <w:tmpl w:val="F7169DDE"/>
    <w:lvl w:ilvl="0" w:tplc="F754F972">
      <w:start w:val="1"/>
      <w:numFmt w:val="bullet"/>
      <w:lvlText w:val="•"/>
      <w:lvlJc w:val="left"/>
      <w:pPr>
        <w:tabs>
          <w:tab w:val="num" w:pos="720"/>
        </w:tabs>
        <w:ind w:left="720" w:hanging="360"/>
      </w:pPr>
      <w:rPr>
        <w:rFonts w:ascii="Arial" w:hAnsi="Arial" w:hint="default"/>
      </w:rPr>
    </w:lvl>
    <w:lvl w:ilvl="1" w:tplc="1AD84FCE" w:tentative="1">
      <w:start w:val="1"/>
      <w:numFmt w:val="bullet"/>
      <w:lvlText w:val="•"/>
      <w:lvlJc w:val="left"/>
      <w:pPr>
        <w:tabs>
          <w:tab w:val="num" w:pos="1440"/>
        </w:tabs>
        <w:ind w:left="1440" w:hanging="360"/>
      </w:pPr>
      <w:rPr>
        <w:rFonts w:ascii="Arial" w:hAnsi="Arial" w:hint="default"/>
      </w:rPr>
    </w:lvl>
    <w:lvl w:ilvl="2" w:tplc="1540B2E6" w:tentative="1">
      <w:start w:val="1"/>
      <w:numFmt w:val="bullet"/>
      <w:lvlText w:val="•"/>
      <w:lvlJc w:val="left"/>
      <w:pPr>
        <w:tabs>
          <w:tab w:val="num" w:pos="2160"/>
        </w:tabs>
        <w:ind w:left="2160" w:hanging="360"/>
      </w:pPr>
      <w:rPr>
        <w:rFonts w:ascii="Arial" w:hAnsi="Arial" w:hint="default"/>
      </w:rPr>
    </w:lvl>
    <w:lvl w:ilvl="3" w:tplc="90E632C2" w:tentative="1">
      <w:start w:val="1"/>
      <w:numFmt w:val="bullet"/>
      <w:lvlText w:val="•"/>
      <w:lvlJc w:val="left"/>
      <w:pPr>
        <w:tabs>
          <w:tab w:val="num" w:pos="2880"/>
        </w:tabs>
        <w:ind w:left="2880" w:hanging="360"/>
      </w:pPr>
      <w:rPr>
        <w:rFonts w:ascii="Arial" w:hAnsi="Arial" w:hint="default"/>
      </w:rPr>
    </w:lvl>
    <w:lvl w:ilvl="4" w:tplc="B9940638" w:tentative="1">
      <w:start w:val="1"/>
      <w:numFmt w:val="bullet"/>
      <w:lvlText w:val="•"/>
      <w:lvlJc w:val="left"/>
      <w:pPr>
        <w:tabs>
          <w:tab w:val="num" w:pos="3600"/>
        </w:tabs>
        <w:ind w:left="3600" w:hanging="360"/>
      </w:pPr>
      <w:rPr>
        <w:rFonts w:ascii="Arial" w:hAnsi="Arial" w:hint="default"/>
      </w:rPr>
    </w:lvl>
    <w:lvl w:ilvl="5" w:tplc="0FFA6C6C" w:tentative="1">
      <w:start w:val="1"/>
      <w:numFmt w:val="bullet"/>
      <w:lvlText w:val="•"/>
      <w:lvlJc w:val="left"/>
      <w:pPr>
        <w:tabs>
          <w:tab w:val="num" w:pos="4320"/>
        </w:tabs>
        <w:ind w:left="4320" w:hanging="360"/>
      </w:pPr>
      <w:rPr>
        <w:rFonts w:ascii="Arial" w:hAnsi="Arial" w:hint="default"/>
      </w:rPr>
    </w:lvl>
    <w:lvl w:ilvl="6" w:tplc="F22C2668" w:tentative="1">
      <w:start w:val="1"/>
      <w:numFmt w:val="bullet"/>
      <w:lvlText w:val="•"/>
      <w:lvlJc w:val="left"/>
      <w:pPr>
        <w:tabs>
          <w:tab w:val="num" w:pos="5040"/>
        </w:tabs>
        <w:ind w:left="5040" w:hanging="360"/>
      </w:pPr>
      <w:rPr>
        <w:rFonts w:ascii="Arial" w:hAnsi="Arial" w:hint="default"/>
      </w:rPr>
    </w:lvl>
    <w:lvl w:ilvl="7" w:tplc="CB983646" w:tentative="1">
      <w:start w:val="1"/>
      <w:numFmt w:val="bullet"/>
      <w:lvlText w:val="•"/>
      <w:lvlJc w:val="left"/>
      <w:pPr>
        <w:tabs>
          <w:tab w:val="num" w:pos="5760"/>
        </w:tabs>
        <w:ind w:left="5760" w:hanging="360"/>
      </w:pPr>
      <w:rPr>
        <w:rFonts w:ascii="Arial" w:hAnsi="Arial" w:hint="default"/>
      </w:rPr>
    </w:lvl>
    <w:lvl w:ilvl="8" w:tplc="6D3E591C" w:tentative="1">
      <w:start w:val="1"/>
      <w:numFmt w:val="bullet"/>
      <w:lvlText w:val="•"/>
      <w:lvlJc w:val="left"/>
      <w:pPr>
        <w:tabs>
          <w:tab w:val="num" w:pos="6480"/>
        </w:tabs>
        <w:ind w:left="6480" w:hanging="360"/>
      </w:pPr>
      <w:rPr>
        <w:rFonts w:ascii="Arial" w:hAnsi="Arial" w:hint="default"/>
      </w:rPr>
    </w:lvl>
  </w:abstractNum>
  <w:num w:numId="1" w16cid:durableId="672948896">
    <w:abstractNumId w:val="25"/>
  </w:num>
  <w:num w:numId="2" w16cid:durableId="1008487205">
    <w:abstractNumId w:val="5"/>
  </w:num>
  <w:num w:numId="3" w16cid:durableId="357590161">
    <w:abstractNumId w:val="24"/>
  </w:num>
  <w:num w:numId="4" w16cid:durableId="1406878562">
    <w:abstractNumId w:val="16"/>
  </w:num>
  <w:num w:numId="5" w16cid:durableId="1552307307">
    <w:abstractNumId w:val="11"/>
  </w:num>
  <w:num w:numId="6" w16cid:durableId="1713773281">
    <w:abstractNumId w:val="22"/>
  </w:num>
  <w:num w:numId="7" w16cid:durableId="1140463999">
    <w:abstractNumId w:val="18"/>
  </w:num>
  <w:num w:numId="8" w16cid:durableId="813106143">
    <w:abstractNumId w:val="13"/>
  </w:num>
  <w:num w:numId="9" w16cid:durableId="715204697">
    <w:abstractNumId w:val="23"/>
  </w:num>
  <w:num w:numId="10" w16cid:durableId="338626201">
    <w:abstractNumId w:val="9"/>
  </w:num>
  <w:num w:numId="11" w16cid:durableId="261492241">
    <w:abstractNumId w:val="26"/>
  </w:num>
  <w:num w:numId="12" w16cid:durableId="1221862901">
    <w:abstractNumId w:val="1"/>
  </w:num>
  <w:num w:numId="13" w16cid:durableId="69816314">
    <w:abstractNumId w:val="2"/>
  </w:num>
  <w:num w:numId="14" w16cid:durableId="1683973369">
    <w:abstractNumId w:val="27"/>
  </w:num>
  <w:num w:numId="15" w16cid:durableId="768551341">
    <w:abstractNumId w:val="6"/>
  </w:num>
  <w:num w:numId="16" w16cid:durableId="916133247">
    <w:abstractNumId w:val="19"/>
  </w:num>
  <w:num w:numId="17" w16cid:durableId="1950698979">
    <w:abstractNumId w:val="12"/>
  </w:num>
  <w:num w:numId="18" w16cid:durableId="1830362464">
    <w:abstractNumId w:val="8"/>
  </w:num>
  <w:num w:numId="19" w16cid:durableId="1702508337">
    <w:abstractNumId w:val="3"/>
  </w:num>
  <w:num w:numId="20" w16cid:durableId="2121408865">
    <w:abstractNumId w:val="29"/>
  </w:num>
  <w:num w:numId="21" w16cid:durableId="489565632">
    <w:abstractNumId w:val="20"/>
  </w:num>
  <w:num w:numId="22" w16cid:durableId="540240336">
    <w:abstractNumId w:val="21"/>
  </w:num>
  <w:num w:numId="23" w16cid:durableId="470251022">
    <w:abstractNumId w:val="15"/>
  </w:num>
  <w:num w:numId="24" w16cid:durableId="319701807">
    <w:abstractNumId w:val="10"/>
  </w:num>
  <w:num w:numId="25" w16cid:durableId="1137914071">
    <w:abstractNumId w:val="28"/>
  </w:num>
  <w:num w:numId="26" w16cid:durableId="1135638850">
    <w:abstractNumId w:val="7"/>
  </w:num>
  <w:num w:numId="27" w16cid:durableId="732657041">
    <w:abstractNumId w:val="4"/>
  </w:num>
  <w:num w:numId="28" w16cid:durableId="1942448568">
    <w:abstractNumId w:val="0"/>
  </w:num>
  <w:num w:numId="29" w16cid:durableId="1859584141">
    <w:abstractNumId w:val="17"/>
  </w:num>
  <w:num w:numId="30" w16cid:durableId="1252471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4F5"/>
    <w:rsid w:val="00011C65"/>
    <w:rsid w:val="00015F92"/>
    <w:rsid w:val="00024F97"/>
    <w:rsid w:val="00027999"/>
    <w:rsid w:val="00034451"/>
    <w:rsid w:val="00036D2E"/>
    <w:rsid w:val="00043080"/>
    <w:rsid w:val="00043EE5"/>
    <w:rsid w:val="00063249"/>
    <w:rsid w:val="00064BD3"/>
    <w:rsid w:val="00070566"/>
    <w:rsid w:val="00072FE7"/>
    <w:rsid w:val="00074F27"/>
    <w:rsid w:val="00075959"/>
    <w:rsid w:val="00075C08"/>
    <w:rsid w:val="000837B0"/>
    <w:rsid w:val="000916D6"/>
    <w:rsid w:val="00093EAE"/>
    <w:rsid w:val="000A07BC"/>
    <w:rsid w:val="000A7732"/>
    <w:rsid w:val="000B3795"/>
    <w:rsid w:val="000C380D"/>
    <w:rsid w:val="000D6E00"/>
    <w:rsid w:val="000E4E94"/>
    <w:rsid w:val="000E60D7"/>
    <w:rsid w:val="000E6E25"/>
    <w:rsid w:val="000F33A3"/>
    <w:rsid w:val="000F6180"/>
    <w:rsid w:val="000F74D4"/>
    <w:rsid w:val="000F7AC7"/>
    <w:rsid w:val="0010104E"/>
    <w:rsid w:val="00101FB9"/>
    <w:rsid w:val="00103841"/>
    <w:rsid w:val="0010391E"/>
    <w:rsid w:val="00103C07"/>
    <w:rsid w:val="00107CF7"/>
    <w:rsid w:val="00111F0B"/>
    <w:rsid w:val="001263B4"/>
    <w:rsid w:val="001269D6"/>
    <w:rsid w:val="00127382"/>
    <w:rsid w:val="00130A33"/>
    <w:rsid w:val="00132CBC"/>
    <w:rsid w:val="00135A54"/>
    <w:rsid w:val="0014264A"/>
    <w:rsid w:val="0014327D"/>
    <w:rsid w:val="00144986"/>
    <w:rsid w:val="00151433"/>
    <w:rsid w:val="001574CE"/>
    <w:rsid w:val="00165795"/>
    <w:rsid w:val="00177020"/>
    <w:rsid w:val="00183BA7"/>
    <w:rsid w:val="00184133"/>
    <w:rsid w:val="00194824"/>
    <w:rsid w:val="00194C13"/>
    <w:rsid w:val="00195BFE"/>
    <w:rsid w:val="0019666A"/>
    <w:rsid w:val="001A03A4"/>
    <w:rsid w:val="001A3B4D"/>
    <w:rsid w:val="001A441F"/>
    <w:rsid w:val="001A6AEA"/>
    <w:rsid w:val="001A70C0"/>
    <w:rsid w:val="001A738E"/>
    <w:rsid w:val="001B2A57"/>
    <w:rsid w:val="001B634E"/>
    <w:rsid w:val="001C246D"/>
    <w:rsid w:val="001C613A"/>
    <w:rsid w:val="001C6231"/>
    <w:rsid w:val="001D242D"/>
    <w:rsid w:val="001D4F3A"/>
    <w:rsid w:val="001D7C80"/>
    <w:rsid w:val="001E1477"/>
    <w:rsid w:val="001E2FC3"/>
    <w:rsid w:val="001F4CB4"/>
    <w:rsid w:val="001F4F7C"/>
    <w:rsid w:val="001F54B8"/>
    <w:rsid w:val="001F54D9"/>
    <w:rsid w:val="001F6076"/>
    <w:rsid w:val="002008F8"/>
    <w:rsid w:val="00201F88"/>
    <w:rsid w:val="002107DA"/>
    <w:rsid w:val="00212968"/>
    <w:rsid w:val="00214162"/>
    <w:rsid w:val="00216E56"/>
    <w:rsid w:val="00222043"/>
    <w:rsid w:val="002227D3"/>
    <w:rsid w:val="002277EE"/>
    <w:rsid w:val="00235676"/>
    <w:rsid w:val="00237507"/>
    <w:rsid w:val="0024033B"/>
    <w:rsid w:val="00244959"/>
    <w:rsid w:val="0025038D"/>
    <w:rsid w:val="002514C3"/>
    <w:rsid w:val="00254C8A"/>
    <w:rsid w:val="002573BC"/>
    <w:rsid w:val="00261695"/>
    <w:rsid w:val="00270CF7"/>
    <w:rsid w:val="00270F69"/>
    <w:rsid w:val="00271A5C"/>
    <w:rsid w:val="002737DA"/>
    <w:rsid w:val="0028083A"/>
    <w:rsid w:val="00292E3D"/>
    <w:rsid w:val="0029356D"/>
    <w:rsid w:val="002A6203"/>
    <w:rsid w:val="002B015E"/>
    <w:rsid w:val="002B52AE"/>
    <w:rsid w:val="002B7C28"/>
    <w:rsid w:val="002C1402"/>
    <w:rsid w:val="002C295F"/>
    <w:rsid w:val="002C2FE4"/>
    <w:rsid w:val="002C3A12"/>
    <w:rsid w:val="002C7FD2"/>
    <w:rsid w:val="002D0EF7"/>
    <w:rsid w:val="002D6889"/>
    <w:rsid w:val="002E33EF"/>
    <w:rsid w:val="002E49BA"/>
    <w:rsid w:val="002F7EBE"/>
    <w:rsid w:val="00300A54"/>
    <w:rsid w:val="00314705"/>
    <w:rsid w:val="00315BD2"/>
    <w:rsid w:val="00317F85"/>
    <w:rsid w:val="003218AE"/>
    <w:rsid w:val="00322DC1"/>
    <w:rsid w:val="00323EF1"/>
    <w:rsid w:val="00331FB3"/>
    <w:rsid w:val="00334EDD"/>
    <w:rsid w:val="00341627"/>
    <w:rsid w:val="00341E2F"/>
    <w:rsid w:val="003431BA"/>
    <w:rsid w:val="00344DE1"/>
    <w:rsid w:val="00345160"/>
    <w:rsid w:val="0034679F"/>
    <w:rsid w:val="00346F82"/>
    <w:rsid w:val="0036112F"/>
    <w:rsid w:val="00366C2F"/>
    <w:rsid w:val="00376DC2"/>
    <w:rsid w:val="0038048C"/>
    <w:rsid w:val="003906AE"/>
    <w:rsid w:val="003B696D"/>
    <w:rsid w:val="003C39E9"/>
    <w:rsid w:val="003C5713"/>
    <w:rsid w:val="003D33F6"/>
    <w:rsid w:val="003E235F"/>
    <w:rsid w:val="003E2C14"/>
    <w:rsid w:val="003F0A69"/>
    <w:rsid w:val="003F3051"/>
    <w:rsid w:val="003F3252"/>
    <w:rsid w:val="00401083"/>
    <w:rsid w:val="00410876"/>
    <w:rsid w:val="004139F2"/>
    <w:rsid w:val="00413D35"/>
    <w:rsid w:val="004234C4"/>
    <w:rsid w:val="004251C2"/>
    <w:rsid w:val="0042708F"/>
    <w:rsid w:val="004303E9"/>
    <w:rsid w:val="00436089"/>
    <w:rsid w:val="004429AF"/>
    <w:rsid w:val="00450806"/>
    <w:rsid w:val="00453401"/>
    <w:rsid w:val="00453BA2"/>
    <w:rsid w:val="00463294"/>
    <w:rsid w:val="00471DEC"/>
    <w:rsid w:val="00472C2D"/>
    <w:rsid w:val="00477C30"/>
    <w:rsid w:val="00484E43"/>
    <w:rsid w:val="0048506F"/>
    <w:rsid w:val="00492D26"/>
    <w:rsid w:val="004A048B"/>
    <w:rsid w:val="004A78D8"/>
    <w:rsid w:val="004B2512"/>
    <w:rsid w:val="004B341D"/>
    <w:rsid w:val="004B3B37"/>
    <w:rsid w:val="004C455E"/>
    <w:rsid w:val="004C4EEF"/>
    <w:rsid w:val="004D339B"/>
    <w:rsid w:val="004D7932"/>
    <w:rsid w:val="004E5604"/>
    <w:rsid w:val="004E704E"/>
    <w:rsid w:val="004F2923"/>
    <w:rsid w:val="004F2A2D"/>
    <w:rsid w:val="004F40CE"/>
    <w:rsid w:val="004F47A4"/>
    <w:rsid w:val="004F7C79"/>
    <w:rsid w:val="005008F3"/>
    <w:rsid w:val="005036BF"/>
    <w:rsid w:val="005054D7"/>
    <w:rsid w:val="00511668"/>
    <w:rsid w:val="005124DE"/>
    <w:rsid w:val="00512D56"/>
    <w:rsid w:val="00514239"/>
    <w:rsid w:val="005226E7"/>
    <w:rsid w:val="0052410D"/>
    <w:rsid w:val="005244B3"/>
    <w:rsid w:val="00525FA8"/>
    <w:rsid w:val="00532830"/>
    <w:rsid w:val="00536AA1"/>
    <w:rsid w:val="005421DF"/>
    <w:rsid w:val="0054422B"/>
    <w:rsid w:val="00545551"/>
    <w:rsid w:val="00550CF6"/>
    <w:rsid w:val="005514F5"/>
    <w:rsid w:val="00557F44"/>
    <w:rsid w:val="005600EE"/>
    <w:rsid w:val="005616F5"/>
    <w:rsid w:val="00561B2E"/>
    <w:rsid w:val="00566E35"/>
    <w:rsid w:val="00575523"/>
    <w:rsid w:val="005840A8"/>
    <w:rsid w:val="00584A26"/>
    <w:rsid w:val="005872C2"/>
    <w:rsid w:val="00590962"/>
    <w:rsid w:val="00597E24"/>
    <w:rsid w:val="005A1171"/>
    <w:rsid w:val="005A4D68"/>
    <w:rsid w:val="005A744A"/>
    <w:rsid w:val="005B2AA5"/>
    <w:rsid w:val="005C7973"/>
    <w:rsid w:val="005C7ECA"/>
    <w:rsid w:val="005D727B"/>
    <w:rsid w:val="005E2A6B"/>
    <w:rsid w:val="005E6AE8"/>
    <w:rsid w:val="005E7828"/>
    <w:rsid w:val="005F1F7D"/>
    <w:rsid w:val="006065AA"/>
    <w:rsid w:val="006118A5"/>
    <w:rsid w:val="00611E0A"/>
    <w:rsid w:val="0061221F"/>
    <w:rsid w:val="0061396E"/>
    <w:rsid w:val="00613CCA"/>
    <w:rsid w:val="006142D7"/>
    <w:rsid w:val="00615FD2"/>
    <w:rsid w:val="00622CDE"/>
    <w:rsid w:val="00625536"/>
    <w:rsid w:val="006264C4"/>
    <w:rsid w:val="006443E2"/>
    <w:rsid w:val="00646D85"/>
    <w:rsid w:val="006503BC"/>
    <w:rsid w:val="00651C5C"/>
    <w:rsid w:val="00652EA7"/>
    <w:rsid w:val="00652EC2"/>
    <w:rsid w:val="006603AB"/>
    <w:rsid w:val="006615BF"/>
    <w:rsid w:val="00663002"/>
    <w:rsid w:val="00663C7F"/>
    <w:rsid w:val="006665C1"/>
    <w:rsid w:val="00671357"/>
    <w:rsid w:val="006759C7"/>
    <w:rsid w:val="0068383B"/>
    <w:rsid w:val="00683AD2"/>
    <w:rsid w:val="006865F7"/>
    <w:rsid w:val="0068698D"/>
    <w:rsid w:val="006967E0"/>
    <w:rsid w:val="006A18B1"/>
    <w:rsid w:val="006A753A"/>
    <w:rsid w:val="006B0996"/>
    <w:rsid w:val="006B1427"/>
    <w:rsid w:val="006C04E3"/>
    <w:rsid w:val="006C1240"/>
    <w:rsid w:val="006C3288"/>
    <w:rsid w:val="006C3CA3"/>
    <w:rsid w:val="006C6C42"/>
    <w:rsid w:val="006C78F0"/>
    <w:rsid w:val="006D2103"/>
    <w:rsid w:val="006D6D0D"/>
    <w:rsid w:val="006E0916"/>
    <w:rsid w:val="006E658F"/>
    <w:rsid w:val="006E6FD4"/>
    <w:rsid w:val="007012DE"/>
    <w:rsid w:val="007052CF"/>
    <w:rsid w:val="007071B9"/>
    <w:rsid w:val="0070736F"/>
    <w:rsid w:val="00707B6D"/>
    <w:rsid w:val="007171FB"/>
    <w:rsid w:val="007200CE"/>
    <w:rsid w:val="00727597"/>
    <w:rsid w:val="0072766E"/>
    <w:rsid w:val="00733DC6"/>
    <w:rsid w:val="007356A8"/>
    <w:rsid w:val="007501BC"/>
    <w:rsid w:val="007509F1"/>
    <w:rsid w:val="00752F86"/>
    <w:rsid w:val="007653DF"/>
    <w:rsid w:val="00765658"/>
    <w:rsid w:val="00766CFB"/>
    <w:rsid w:val="0077190B"/>
    <w:rsid w:val="00776DA0"/>
    <w:rsid w:val="00782D6A"/>
    <w:rsid w:val="00797402"/>
    <w:rsid w:val="007C022E"/>
    <w:rsid w:val="007C2F6C"/>
    <w:rsid w:val="007E46BA"/>
    <w:rsid w:val="007E4909"/>
    <w:rsid w:val="007E65D8"/>
    <w:rsid w:val="007E6CF5"/>
    <w:rsid w:val="007F0A04"/>
    <w:rsid w:val="007F2CB8"/>
    <w:rsid w:val="007F3770"/>
    <w:rsid w:val="007F78C6"/>
    <w:rsid w:val="008033BC"/>
    <w:rsid w:val="00803F1F"/>
    <w:rsid w:val="00805DEA"/>
    <w:rsid w:val="0081178E"/>
    <w:rsid w:val="0081365E"/>
    <w:rsid w:val="00816CD4"/>
    <w:rsid w:val="00821663"/>
    <w:rsid w:val="00823A6F"/>
    <w:rsid w:val="00824FD7"/>
    <w:rsid w:val="008253DD"/>
    <w:rsid w:val="008302D8"/>
    <w:rsid w:val="00831F5F"/>
    <w:rsid w:val="00832F64"/>
    <w:rsid w:val="0084567D"/>
    <w:rsid w:val="0084629E"/>
    <w:rsid w:val="008508D3"/>
    <w:rsid w:val="008521C2"/>
    <w:rsid w:val="00861C74"/>
    <w:rsid w:val="00865E04"/>
    <w:rsid w:val="00871E52"/>
    <w:rsid w:val="00881518"/>
    <w:rsid w:val="00881E6B"/>
    <w:rsid w:val="0088268E"/>
    <w:rsid w:val="0088309E"/>
    <w:rsid w:val="00886689"/>
    <w:rsid w:val="00894F53"/>
    <w:rsid w:val="008A2EE5"/>
    <w:rsid w:val="008A4834"/>
    <w:rsid w:val="008B0AFB"/>
    <w:rsid w:val="008B0C2E"/>
    <w:rsid w:val="008B0CD2"/>
    <w:rsid w:val="008B1E57"/>
    <w:rsid w:val="008B2FE2"/>
    <w:rsid w:val="008C07C6"/>
    <w:rsid w:val="008C0D94"/>
    <w:rsid w:val="008C223F"/>
    <w:rsid w:val="008D2621"/>
    <w:rsid w:val="008D5581"/>
    <w:rsid w:val="008F08D4"/>
    <w:rsid w:val="008F1A3E"/>
    <w:rsid w:val="008F2E47"/>
    <w:rsid w:val="008F58C8"/>
    <w:rsid w:val="00902B26"/>
    <w:rsid w:val="0090474D"/>
    <w:rsid w:val="00906015"/>
    <w:rsid w:val="0091039C"/>
    <w:rsid w:val="00914A23"/>
    <w:rsid w:val="00914F4D"/>
    <w:rsid w:val="00920C69"/>
    <w:rsid w:val="009262CA"/>
    <w:rsid w:val="00933394"/>
    <w:rsid w:val="0093548E"/>
    <w:rsid w:val="00937DF6"/>
    <w:rsid w:val="009400BD"/>
    <w:rsid w:val="00950E33"/>
    <w:rsid w:val="00956590"/>
    <w:rsid w:val="0095770D"/>
    <w:rsid w:val="00964046"/>
    <w:rsid w:val="009648C3"/>
    <w:rsid w:val="00964AF4"/>
    <w:rsid w:val="00966272"/>
    <w:rsid w:val="00966B3E"/>
    <w:rsid w:val="0097169D"/>
    <w:rsid w:val="00971F2C"/>
    <w:rsid w:val="00984192"/>
    <w:rsid w:val="0098626C"/>
    <w:rsid w:val="00992DA7"/>
    <w:rsid w:val="0099555E"/>
    <w:rsid w:val="00995607"/>
    <w:rsid w:val="00995AC9"/>
    <w:rsid w:val="009A5528"/>
    <w:rsid w:val="009A56AC"/>
    <w:rsid w:val="009A79E2"/>
    <w:rsid w:val="009B585D"/>
    <w:rsid w:val="009C6DAD"/>
    <w:rsid w:val="009C7F02"/>
    <w:rsid w:val="009D32F5"/>
    <w:rsid w:val="009D4078"/>
    <w:rsid w:val="009D652D"/>
    <w:rsid w:val="009E2641"/>
    <w:rsid w:val="009E33C4"/>
    <w:rsid w:val="009F1808"/>
    <w:rsid w:val="009F1929"/>
    <w:rsid w:val="009F2413"/>
    <w:rsid w:val="009F3C7D"/>
    <w:rsid w:val="009F4CBD"/>
    <w:rsid w:val="00A030ED"/>
    <w:rsid w:val="00A10CAD"/>
    <w:rsid w:val="00A11692"/>
    <w:rsid w:val="00A13FC6"/>
    <w:rsid w:val="00A202DC"/>
    <w:rsid w:val="00A22176"/>
    <w:rsid w:val="00A22FC1"/>
    <w:rsid w:val="00A24596"/>
    <w:rsid w:val="00A41F17"/>
    <w:rsid w:val="00A4360C"/>
    <w:rsid w:val="00A45579"/>
    <w:rsid w:val="00A50507"/>
    <w:rsid w:val="00A51D6B"/>
    <w:rsid w:val="00A622DB"/>
    <w:rsid w:val="00A63429"/>
    <w:rsid w:val="00A65C8D"/>
    <w:rsid w:val="00A73F62"/>
    <w:rsid w:val="00A75BBA"/>
    <w:rsid w:val="00A75BD8"/>
    <w:rsid w:val="00A76867"/>
    <w:rsid w:val="00A77A6B"/>
    <w:rsid w:val="00A820F2"/>
    <w:rsid w:val="00A824FC"/>
    <w:rsid w:val="00A84B61"/>
    <w:rsid w:val="00A917F4"/>
    <w:rsid w:val="00A9515C"/>
    <w:rsid w:val="00A97588"/>
    <w:rsid w:val="00AA400D"/>
    <w:rsid w:val="00AA5FF6"/>
    <w:rsid w:val="00AB04C3"/>
    <w:rsid w:val="00AC0A8C"/>
    <w:rsid w:val="00AC72FD"/>
    <w:rsid w:val="00AD3004"/>
    <w:rsid w:val="00AD7276"/>
    <w:rsid w:val="00AE16AD"/>
    <w:rsid w:val="00AE2503"/>
    <w:rsid w:val="00AF0194"/>
    <w:rsid w:val="00B02348"/>
    <w:rsid w:val="00B07B65"/>
    <w:rsid w:val="00B11EDB"/>
    <w:rsid w:val="00B16D89"/>
    <w:rsid w:val="00B20362"/>
    <w:rsid w:val="00B205FD"/>
    <w:rsid w:val="00B22AA5"/>
    <w:rsid w:val="00B23CA6"/>
    <w:rsid w:val="00B26969"/>
    <w:rsid w:val="00B37F95"/>
    <w:rsid w:val="00B4046C"/>
    <w:rsid w:val="00B43294"/>
    <w:rsid w:val="00B441F0"/>
    <w:rsid w:val="00B44DC5"/>
    <w:rsid w:val="00B516CC"/>
    <w:rsid w:val="00B606AF"/>
    <w:rsid w:val="00B73BDE"/>
    <w:rsid w:val="00B90329"/>
    <w:rsid w:val="00B91629"/>
    <w:rsid w:val="00B954E1"/>
    <w:rsid w:val="00B97FE0"/>
    <w:rsid w:val="00BB2C27"/>
    <w:rsid w:val="00BB5F9A"/>
    <w:rsid w:val="00BC3EE5"/>
    <w:rsid w:val="00BC5AF5"/>
    <w:rsid w:val="00BD2C6C"/>
    <w:rsid w:val="00BD41DA"/>
    <w:rsid w:val="00BD4D87"/>
    <w:rsid w:val="00BD5892"/>
    <w:rsid w:val="00BE2541"/>
    <w:rsid w:val="00BE271A"/>
    <w:rsid w:val="00BF39A8"/>
    <w:rsid w:val="00BF5087"/>
    <w:rsid w:val="00BF6C15"/>
    <w:rsid w:val="00C0148D"/>
    <w:rsid w:val="00C04C8F"/>
    <w:rsid w:val="00C05E3B"/>
    <w:rsid w:val="00C13B5C"/>
    <w:rsid w:val="00C20757"/>
    <w:rsid w:val="00C2185C"/>
    <w:rsid w:val="00C22A12"/>
    <w:rsid w:val="00C23934"/>
    <w:rsid w:val="00C34B57"/>
    <w:rsid w:val="00C51C00"/>
    <w:rsid w:val="00C52323"/>
    <w:rsid w:val="00C53600"/>
    <w:rsid w:val="00C53B69"/>
    <w:rsid w:val="00C5663F"/>
    <w:rsid w:val="00C60085"/>
    <w:rsid w:val="00C66EEE"/>
    <w:rsid w:val="00C70905"/>
    <w:rsid w:val="00C851AF"/>
    <w:rsid w:val="00C85961"/>
    <w:rsid w:val="00C863AC"/>
    <w:rsid w:val="00C87E48"/>
    <w:rsid w:val="00C95AED"/>
    <w:rsid w:val="00CA23E4"/>
    <w:rsid w:val="00CA2A2C"/>
    <w:rsid w:val="00CA38CD"/>
    <w:rsid w:val="00CA4D6C"/>
    <w:rsid w:val="00CA6050"/>
    <w:rsid w:val="00CA6DFE"/>
    <w:rsid w:val="00CA7EEA"/>
    <w:rsid w:val="00CB506C"/>
    <w:rsid w:val="00CB50F0"/>
    <w:rsid w:val="00CC279E"/>
    <w:rsid w:val="00CC2AC9"/>
    <w:rsid w:val="00CC64ED"/>
    <w:rsid w:val="00CD405D"/>
    <w:rsid w:val="00CD4544"/>
    <w:rsid w:val="00CD4D85"/>
    <w:rsid w:val="00CF11C2"/>
    <w:rsid w:val="00CF5E45"/>
    <w:rsid w:val="00CF64E7"/>
    <w:rsid w:val="00CF6A01"/>
    <w:rsid w:val="00D016E2"/>
    <w:rsid w:val="00D0540E"/>
    <w:rsid w:val="00D074A0"/>
    <w:rsid w:val="00D0794E"/>
    <w:rsid w:val="00D10E69"/>
    <w:rsid w:val="00D15132"/>
    <w:rsid w:val="00D305F3"/>
    <w:rsid w:val="00D32271"/>
    <w:rsid w:val="00D40C54"/>
    <w:rsid w:val="00D532A2"/>
    <w:rsid w:val="00D568C4"/>
    <w:rsid w:val="00D612C1"/>
    <w:rsid w:val="00D733FB"/>
    <w:rsid w:val="00D743DB"/>
    <w:rsid w:val="00D7561F"/>
    <w:rsid w:val="00D9501F"/>
    <w:rsid w:val="00DA00BB"/>
    <w:rsid w:val="00DA1EBB"/>
    <w:rsid w:val="00DA4308"/>
    <w:rsid w:val="00DA527C"/>
    <w:rsid w:val="00DB0605"/>
    <w:rsid w:val="00DC181F"/>
    <w:rsid w:val="00DC5B87"/>
    <w:rsid w:val="00DC5EE4"/>
    <w:rsid w:val="00DD643F"/>
    <w:rsid w:val="00DF0CAD"/>
    <w:rsid w:val="00DF6194"/>
    <w:rsid w:val="00DF6A80"/>
    <w:rsid w:val="00DF6FD4"/>
    <w:rsid w:val="00E020F2"/>
    <w:rsid w:val="00E137E6"/>
    <w:rsid w:val="00E32246"/>
    <w:rsid w:val="00E328CF"/>
    <w:rsid w:val="00E3551C"/>
    <w:rsid w:val="00E3695A"/>
    <w:rsid w:val="00E37D39"/>
    <w:rsid w:val="00E60591"/>
    <w:rsid w:val="00E609F7"/>
    <w:rsid w:val="00E62C24"/>
    <w:rsid w:val="00E63062"/>
    <w:rsid w:val="00E6698E"/>
    <w:rsid w:val="00E714EA"/>
    <w:rsid w:val="00E739F9"/>
    <w:rsid w:val="00E764AF"/>
    <w:rsid w:val="00E81E22"/>
    <w:rsid w:val="00E84192"/>
    <w:rsid w:val="00E9329C"/>
    <w:rsid w:val="00E96DDB"/>
    <w:rsid w:val="00EA1050"/>
    <w:rsid w:val="00EA29F1"/>
    <w:rsid w:val="00EA3D9F"/>
    <w:rsid w:val="00EA3FAA"/>
    <w:rsid w:val="00EB29B9"/>
    <w:rsid w:val="00EB5FB5"/>
    <w:rsid w:val="00EC3B3C"/>
    <w:rsid w:val="00EC522E"/>
    <w:rsid w:val="00EC7DD0"/>
    <w:rsid w:val="00ED2809"/>
    <w:rsid w:val="00ED46E1"/>
    <w:rsid w:val="00EE59A4"/>
    <w:rsid w:val="00EF21D5"/>
    <w:rsid w:val="00EF430F"/>
    <w:rsid w:val="00F01802"/>
    <w:rsid w:val="00F01EDA"/>
    <w:rsid w:val="00F02967"/>
    <w:rsid w:val="00F05D49"/>
    <w:rsid w:val="00F0795E"/>
    <w:rsid w:val="00F33D57"/>
    <w:rsid w:val="00F35DFB"/>
    <w:rsid w:val="00F408D5"/>
    <w:rsid w:val="00F44625"/>
    <w:rsid w:val="00F46A68"/>
    <w:rsid w:val="00F46F89"/>
    <w:rsid w:val="00F50B52"/>
    <w:rsid w:val="00F52258"/>
    <w:rsid w:val="00F5593D"/>
    <w:rsid w:val="00F56802"/>
    <w:rsid w:val="00F61003"/>
    <w:rsid w:val="00F62052"/>
    <w:rsid w:val="00F65D85"/>
    <w:rsid w:val="00F6705A"/>
    <w:rsid w:val="00F70D1F"/>
    <w:rsid w:val="00F72432"/>
    <w:rsid w:val="00F77D5D"/>
    <w:rsid w:val="00F808E1"/>
    <w:rsid w:val="00F81E14"/>
    <w:rsid w:val="00F84D19"/>
    <w:rsid w:val="00F95337"/>
    <w:rsid w:val="00FA518F"/>
    <w:rsid w:val="00FA5FA0"/>
    <w:rsid w:val="00FA7816"/>
    <w:rsid w:val="00FB0FE2"/>
    <w:rsid w:val="00FB3831"/>
    <w:rsid w:val="00FB454B"/>
    <w:rsid w:val="00FB5351"/>
    <w:rsid w:val="00FB67F7"/>
    <w:rsid w:val="00FC364A"/>
    <w:rsid w:val="00FC511F"/>
    <w:rsid w:val="00FC54F1"/>
    <w:rsid w:val="00FD733E"/>
    <w:rsid w:val="00FD7AFC"/>
    <w:rsid w:val="00FE0BB7"/>
    <w:rsid w:val="00FE33CE"/>
    <w:rsid w:val="00FE4E56"/>
    <w:rsid w:val="00FE5687"/>
    <w:rsid w:val="00FE6940"/>
    <w:rsid w:val="00FE74BA"/>
    <w:rsid w:val="00FF55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4EFF943E-0CDD-4CD3-964C-6C62978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customStyle="1" w:styleId="ui-provider">
    <w:name w:val="ui-provider"/>
    <w:basedOn w:val="DefaultParagraphFont"/>
    <w:rsid w:val="0056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69">
      <w:bodyDiv w:val="1"/>
      <w:marLeft w:val="0"/>
      <w:marRight w:val="0"/>
      <w:marTop w:val="0"/>
      <w:marBottom w:val="0"/>
      <w:divBdr>
        <w:top w:val="none" w:sz="0" w:space="0" w:color="auto"/>
        <w:left w:val="none" w:sz="0" w:space="0" w:color="auto"/>
        <w:bottom w:val="none" w:sz="0" w:space="0" w:color="auto"/>
        <w:right w:val="none" w:sz="0" w:space="0" w:color="auto"/>
      </w:divBdr>
    </w:div>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686566097">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749450687">
      <w:bodyDiv w:val="1"/>
      <w:marLeft w:val="0"/>
      <w:marRight w:val="0"/>
      <w:marTop w:val="0"/>
      <w:marBottom w:val="0"/>
      <w:divBdr>
        <w:top w:val="none" w:sz="0" w:space="0" w:color="auto"/>
        <w:left w:val="none" w:sz="0" w:space="0" w:color="auto"/>
        <w:bottom w:val="none" w:sz="0" w:space="0" w:color="auto"/>
        <w:right w:val="none" w:sz="0" w:space="0" w:color="auto"/>
      </w:divBdr>
    </w:div>
    <w:div w:id="1871525406">
      <w:bodyDiv w:val="1"/>
      <w:marLeft w:val="0"/>
      <w:marRight w:val="0"/>
      <w:marTop w:val="0"/>
      <w:marBottom w:val="0"/>
      <w:divBdr>
        <w:top w:val="none" w:sz="0" w:space="0" w:color="auto"/>
        <w:left w:val="none" w:sz="0" w:space="0" w:color="auto"/>
        <w:bottom w:val="none" w:sz="0" w:space="0" w:color="auto"/>
        <w:right w:val="none" w:sz="0" w:space="0" w:color="auto"/>
      </w:divBdr>
      <w:divsChild>
        <w:div w:id="167646878">
          <w:marLeft w:val="274"/>
          <w:marRight w:val="0"/>
          <w:marTop w:val="0"/>
          <w:marBottom w:val="0"/>
          <w:divBdr>
            <w:top w:val="none" w:sz="0" w:space="0" w:color="auto"/>
            <w:left w:val="none" w:sz="0" w:space="0" w:color="auto"/>
            <w:bottom w:val="none" w:sz="0" w:space="0" w:color="auto"/>
            <w:right w:val="none" w:sz="0" w:space="0" w:color="auto"/>
          </w:divBdr>
        </w:div>
        <w:div w:id="246228849">
          <w:marLeft w:val="274"/>
          <w:marRight w:val="0"/>
          <w:marTop w:val="0"/>
          <w:marBottom w:val="0"/>
          <w:divBdr>
            <w:top w:val="none" w:sz="0" w:space="0" w:color="auto"/>
            <w:left w:val="none" w:sz="0" w:space="0" w:color="auto"/>
            <w:bottom w:val="none" w:sz="0" w:space="0" w:color="auto"/>
            <w:right w:val="none" w:sz="0" w:space="0" w:color="auto"/>
          </w:divBdr>
        </w:div>
        <w:div w:id="944112562">
          <w:marLeft w:val="274"/>
          <w:marRight w:val="0"/>
          <w:marTop w:val="0"/>
          <w:marBottom w:val="0"/>
          <w:divBdr>
            <w:top w:val="none" w:sz="0" w:space="0" w:color="auto"/>
            <w:left w:val="none" w:sz="0" w:space="0" w:color="auto"/>
            <w:bottom w:val="none" w:sz="0" w:space="0" w:color="auto"/>
            <w:right w:val="none" w:sz="0" w:space="0" w:color="auto"/>
          </w:divBdr>
        </w:div>
        <w:div w:id="988170509">
          <w:marLeft w:val="274"/>
          <w:marRight w:val="0"/>
          <w:marTop w:val="0"/>
          <w:marBottom w:val="0"/>
          <w:divBdr>
            <w:top w:val="none" w:sz="0" w:space="0" w:color="auto"/>
            <w:left w:val="none" w:sz="0" w:space="0" w:color="auto"/>
            <w:bottom w:val="none" w:sz="0" w:space="0" w:color="auto"/>
            <w:right w:val="none" w:sz="0" w:space="0" w:color="auto"/>
          </w:divBdr>
        </w:div>
        <w:div w:id="1010176827">
          <w:marLeft w:val="274"/>
          <w:marRight w:val="0"/>
          <w:marTop w:val="0"/>
          <w:marBottom w:val="0"/>
          <w:divBdr>
            <w:top w:val="none" w:sz="0" w:space="0" w:color="auto"/>
            <w:left w:val="none" w:sz="0" w:space="0" w:color="auto"/>
            <w:bottom w:val="none" w:sz="0" w:space="0" w:color="auto"/>
            <w:right w:val="none" w:sz="0" w:space="0" w:color="auto"/>
          </w:divBdr>
        </w:div>
        <w:div w:id="1180043693">
          <w:marLeft w:val="274"/>
          <w:marRight w:val="0"/>
          <w:marTop w:val="0"/>
          <w:marBottom w:val="0"/>
          <w:divBdr>
            <w:top w:val="none" w:sz="0" w:space="0" w:color="auto"/>
            <w:left w:val="none" w:sz="0" w:space="0" w:color="auto"/>
            <w:bottom w:val="none" w:sz="0" w:space="0" w:color="auto"/>
            <w:right w:val="none" w:sz="0" w:space="0" w:color="auto"/>
          </w:divBdr>
        </w:div>
        <w:div w:id="1332759848">
          <w:marLeft w:val="274"/>
          <w:marRight w:val="0"/>
          <w:marTop w:val="0"/>
          <w:marBottom w:val="0"/>
          <w:divBdr>
            <w:top w:val="none" w:sz="0" w:space="0" w:color="auto"/>
            <w:left w:val="none" w:sz="0" w:space="0" w:color="auto"/>
            <w:bottom w:val="none" w:sz="0" w:space="0" w:color="auto"/>
            <w:right w:val="none" w:sz="0" w:space="0" w:color="auto"/>
          </w:divBdr>
        </w:div>
        <w:div w:id="1515341627">
          <w:marLeft w:val="274"/>
          <w:marRight w:val="0"/>
          <w:marTop w:val="0"/>
          <w:marBottom w:val="0"/>
          <w:divBdr>
            <w:top w:val="none" w:sz="0" w:space="0" w:color="auto"/>
            <w:left w:val="none" w:sz="0" w:space="0" w:color="auto"/>
            <w:bottom w:val="none" w:sz="0" w:space="0" w:color="auto"/>
            <w:right w:val="none" w:sz="0" w:space="0" w:color="auto"/>
          </w:divBdr>
        </w:div>
        <w:div w:id="1880899788">
          <w:marLeft w:val="274"/>
          <w:marRight w:val="0"/>
          <w:marTop w:val="0"/>
          <w:marBottom w:val="0"/>
          <w:divBdr>
            <w:top w:val="none" w:sz="0" w:space="0" w:color="auto"/>
            <w:left w:val="none" w:sz="0" w:space="0" w:color="auto"/>
            <w:bottom w:val="none" w:sz="0" w:space="0" w:color="auto"/>
            <w:right w:val="none" w:sz="0" w:space="0" w:color="auto"/>
          </w:divBdr>
        </w:div>
        <w:div w:id="1946647756">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educator-workforce-strategy" TargetMode="External"/><Relationship Id="rId18" Type="http://schemas.openxmlformats.org/officeDocument/2006/relationships/hyperlink" Target="https://www.surrey.ac.uk/postgraduate/education-health-professionals-pgce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ading.ac.uk/education/cpd/pgcert-healthcar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bucks.ac.uk/courses/postgraduate/pgcert-practice-edu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ngland.canceranddiagnostics.se@nhs.net" TargetMode="External"/><Relationship Id="rId20" Type="http://schemas.openxmlformats.org/officeDocument/2006/relationships/hyperlink" Target="https://www.winchester.ac.uk/study/postgraduate/courses/pg-cert-practice-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br01.safelinks.protection.outlook.com/?url=https%3A%2F%2Fwww.england.nhs.uk%2Fwp-content%2Fuploads%2F2023%2F06%2Fnhs-long-term-workforce-plan-v1.2.pdf&amp;data=05%7C02%7Csiobhan.odonnell21%40nhs.net%7Cb60973147d3442c8cf9008dc39fcbd62%7C37c354b285b047f5b22207b48d774ee3%7C0%7C0%7C638449004865684513%7CUnknown%7CTWFpbGZsb3d8eyJWIjoiMC4wLjAwMDAiLCJQIjoiV2luMzIiLCJBTiI6Ik1haWwiLCJXVCI6Mn0%3D%7C0%7C%7C%7C&amp;sdata=cELM61ipl%2F6%2Bkg3M%2FSVeXDM0DBd5BBP9oZCuUul8RmU%3D&amp;reserved=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righton.ac.uk/courses/study/leading-practice-education-pgcert.aspx?utm_source=prospects&amp;utm_medium=course_listing&amp;utm_content=leading-practice-education-pgcert&amp;utm_campaign=annual_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nlinesurveys.jisc.ac.uk/s/healtheducationyh/application-form-5"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SharedWithUsers xmlns="b825f3b1-0e88-46e5-8be6-2e66319fe22b">
      <UserInfo>
        <DisplayName>Delivery and Performance Team (South East) Visitors</DisplayName>
        <AccountId>4</AccountId>
        <AccountType/>
      </UserInfo>
      <UserInfo>
        <DisplayName>GREAVES, Shakira (NHS ENGLAND - T1510)</DisplayName>
        <AccountId>169</AccountId>
        <AccountType/>
      </UserInfo>
      <UserInfo>
        <DisplayName>SharingLinks.0260a03c-fd2b-43b3-84d9-63c6d06f0772.Flexible.9388db89-f1ee-4efe-8eeb-4b232bc1e89b</DisplayName>
        <AccountId>1437</AccountId>
        <AccountType/>
      </UserInfo>
    </SharedWithUsers>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b825f3b1-0e88-46e5-8be6-2e66319fe22b"/>
    <ds:schemaRef ds:uri="7f306fc3-3c3d-4d13-97f5-42cd1ad5d06f"/>
    <ds:schemaRef ds:uri="http://schemas.microsoft.com/office/2006/metadata/propertie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94759C66-B866-42BD-98AE-204CACEA6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11081</CharactersWithSpaces>
  <SharedDoc>false</SharedDoc>
  <HLinks>
    <vt:vector size="60" baseType="variant">
      <vt:variant>
        <vt:i4>4587588</vt:i4>
      </vt:variant>
      <vt:variant>
        <vt:i4>29</vt:i4>
      </vt:variant>
      <vt:variant>
        <vt:i4>0</vt:i4>
      </vt:variant>
      <vt:variant>
        <vt:i4>5</vt:i4>
      </vt:variant>
      <vt:variant>
        <vt:lpwstr>https://www.reading.ac.uk/education/cpd/pgcert-healthcare</vt:lpwstr>
      </vt:variant>
      <vt:variant>
        <vt:lpwstr/>
      </vt:variant>
      <vt:variant>
        <vt:i4>3539051</vt:i4>
      </vt:variant>
      <vt:variant>
        <vt:i4>26</vt:i4>
      </vt:variant>
      <vt:variant>
        <vt:i4>0</vt:i4>
      </vt:variant>
      <vt:variant>
        <vt:i4>5</vt:i4>
      </vt:variant>
      <vt:variant>
        <vt:lpwstr>https://www.winchester.ac.uk/study/postgraduate/courses/pg-cert-practice-education/</vt:lpwstr>
      </vt:variant>
      <vt:variant>
        <vt:lpwstr/>
      </vt:variant>
      <vt:variant>
        <vt:i4>1441804</vt:i4>
      </vt:variant>
      <vt:variant>
        <vt:i4>23</vt:i4>
      </vt:variant>
      <vt:variant>
        <vt:i4>0</vt:i4>
      </vt:variant>
      <vt:variant>
        <vt:i4>5</vt:i4>
      </vt:variant>
      <vt:variant>
        <vt:lpwstr>https://www.brighton.ac.uk/courses/study/leading-practice-education-pgcert.aspx?utm_source=prospects&amp;utm_medium=course_listing&amp;utm_content=leading-practice-education-pgcert&amp;utm_campaign=annual_pg</vt:lpwstr>
      </vt:variant>
      <vt:variant>
        <vt:lpwstr/>
      </vt:variant>
      <vt:variant>
        <vt:i4>8126527</vt:i4>
      </vt:variant>
      <vt:variant>
        <vt:i4>20</vt:i4>
      </vt:variant>
      <vt:variant>
        <vt:i4>0</vt:i4>
      </vt:variant>
      <vt:variant>
        <vt:i4>5</vt:i4>
      </vt:variant>
      <vt:variant>
        <vt:lpwstr>https://www.surrey.ac.uk/postgraduate/education-health-professionals-pgcert</vt:lpwstr>
      </vt:variant>
      <vt:variant>
        <vt:lpwstr/>
      </vt:variant>
      <vt:variant>
        <vt:i4>3670122</vt:i4>
      </vt:variant>
      <vt:variant>
        <vt:i4>17</vt:i4>
      </vt:variant>
      <vt:variant>
        <vt:i4>0</vt:i4>
      </vt:variant>
      <vt:variant>
        <vt:i4>5</vt:i4>
      </vt:variant>
      <vt:variant>
        <vt:lpwstr>https://www.bucks.ac.uk/courses/postgraduate/pgcert-practice-education</vt:lpwstr>
      </vt:variant>
      <vt:variant>
        <vt:lpwstr/>
      </vt:variant>
      <vt:variant>
        <vt:i4>3276804</vt:i4>
      </vt:variant>
      <vt:variant>
        <vt:i4>14</vt:i4>
      </vt:variant>
      <vt:variant>
        <vt:i4>0</vt:i4>
      </vt:variant>
      <vt:variant>
        <vt:i4>5</vt:i4>
      </vt:variant>
      <vt:variant>
        <vt:lpwstr>mailto:england.canceranddiagnostics.se@nhs.net</vt:lpwstr>
      </vt:variant>
      <vt:variant>
        <vt:lpwstr/>
      </vt:variant>
      <vt:variant>
        <vt:i4>3407978</vt:i4>
      </vt:variant>
      <vt:variant>
        <vt:i4>11</vt:i4>
      </vt:variant>
      <vt:variant>
        <vt:i4>0</vt:i4>
      </vt:variant>
      <vt:variant>
        <vt:i4>5</vt:i4>
      </vt:variant>
      <vt:variant>
        <vt:lpwstr>https://gbr01.safelinks.protection.outlook.com/?url=https%3A%2F%2Fwww.england.nhs.uk%2Fwp-content%2Fuploads%2F2023%2F06%2Fnhs-long-term-workforce-plan-v1.2.pdf&amp;data=05%7C02%7Csiobhan.odonnell21%40nhs.net%7Cb60973147d3442c8cf9008dc39fcbd62%7C37c354b285b047f5b22207b48d774ee3%7C0%7C0%7C638449004865684513%7CUnknown%7CTWFpbGZsb3d8eyJWIjoiMC4wLjAwMDAiLCJQIjoiV2luMzIiLCJBTiI6Ik1haWwiLCJXVCI6Mn0%3D%7C0%7C%7C%7C&amp;sdata=cELM61ipl%2F6%2Bkg3M%2FSVeXDM0DBd5BBP9oZCuUul8RmU%3D&amp;reserved=0</vt:lpwstr>
      </vt:variant>
      <vt:variant>
        <vt:lpwstr/>
      </vt:variant>
      <vt:variant>
        <vt:i4>8257584</vt:i4>
      </vt:variant>
      <vt:variant>
        <vt:i4>8</vt:i4>
      </vt:variant>
      <vt:variant>
        <vt:i4>0</vt:i4>
      </vt:variant>
      <vt:variant>
        <vt:i4>5</vt:i4>
      </vt:variant>
      <vt:variant>
        <vt:lpwstr>https://www.hee.nhs.uk/our-work/educator-workforce-strategy</vt:lpwstr>
      </vt:variant>
      <vt:variant>
        <vt:lpwstr/>
      </vt:variant>
      <vt:variant>
        <vt:i4>6422640</vt:i4>
      </vt:variant>
      <vt:variant>
        <vt:i4>5</vt:i4>
      </vt:variant>
      <vt:variant>
        <vt:i4>0</vt:i4>
      </vt:variant>
      <vt:variant>
        <vt:i4>5</vt:i4>
      </vt:variant>
      <vt:variant>
        <vt:lpwstr>mailto:</vt:lpwstr>
      </vt:variant>
      <vt:variant>
        <vt:lpwstr/>
      </vt:variant>
      <vt:variant>
        <vt:i4>3276804</vt:i4>
      </vt:variant>
      <vt:variant>
        <vt:i4>2</vt:i4>
      </vt:variant>
      <vt:variant>
        <vt:i4>0</vt:i4>
      </vt:variant>
      <vt:variant>
        <vt:i4>5</vt:i4>
      </vt:variant>
      <vt:variant>
        <vt:lpwstr>mailto:england.canceranddiagnostics.se@nhs.net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3</cp:revision>
  <cp:lastPrinted>2021-01-11T19:40:00Z</cp:lastPrinted>
  <dcterms:created xsi:type="dcterms:W3CDTF">2024-03-04T10:12:00Z</dcterms:created>
  <dcterms:modified xsi:type="dcterms:W3CDTF">2024-03-05T09:35:00Z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