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62C08" w14:textId="77777777" w:rsidR="00933394" w:rsidRDefault="00933394" w:rsidP="00DA527C"/>
    <w:p w14:paraId="23F7B6D2" w14:textId="77777777" w:rsidR="003248BB" w:rsidRDefault="003248BB" w:rsidP="00933394">
      <w:pPr>
        <w:pStyle w:val="Heading1"/>
      </w:pPr>
      <w:r>
        <w:t>Medical Doctor Apprenticeship</w:t>
      </w:r>
    </w:p>
    <w:p w14:paraId="23437442" w14:textId="4FB72597" w:rsidR="00933394" w:rsidRPr="00933394" w:rsidRDefault="003248BB" w:rsidP="00933394">
      <w:pPr>
        <w:pStyle w:val="Heading2"/>
      </w:pPr>
      <w:r>
        <w:t>Frequently asked questions</w:t>
      </w:r>
    </w:p>
    <w:p w14:paraId="0C7EA76C" w14:textId="77777777" w:rsidR="00933394" w:rsidRPr="001F0FE1" w:rsidRDefault="00933394" w:rsidP="00933394"/>
    <w:p w14:paraId="3838B509" w14:textId="77777777" w:rsidR="003248BB" w:rsidRPr="00150F13" w:rsidRDefault="003248BB" w:rsidP="003248BB">
      <w:pPr>
        <w:pStyle w:val="ListParagraph"/>
        <w:numPr>
          <w:ilvl w:val="0"/>
          <w:numId w:val="1"/>
        </w:numPr>
        <w:spacing w:after="0" w:line="240" w:lineRule="auto"/>
        <w:ind w:left="360"/>
        <w:contextualSpacing w:val="0"/>
        <w:rPr>
          <w:rFonts w:ascii="Arial" w:eastAsia="Times New Roman" w:hAnsi="Arial" w:cs="Arial"/>
          <w:color w:val="auto"/>
        </w:rPr>
      </w:pPr>
      <w:r w:rsidRPr="00150F13">
        <w:rPr>
          <w:rFonts w:ascii="Arial" w:eastAsia="Times New Roman" w:hAnsi="Arial" w:cs="Arial"/>
          <w:color w:val="auto"/>
        </w:rPr>
        <w:t xml:space="preserve">How would the apprenticeship relate to usual medical doctor training routes? </w:t>
      </w:r>
    </w:p>
    <w:p w14:paraId="7285DDDA" w14:textId="194A5718" w:rsidR="003248BB" w:rsidRPr="00150F13" w:rsidRDefault="003248BB" w:rsidP="003248BB">
      <w:pPr>
        <w:pStyle w:val="ListParagraph"/>
        <w:spacing w:after="0" w:line="240" w:lineRule="auto"/>
        <w:ind w:left="360"/>
        <w:contextualSpacing w:val="0"/>
        <w:rPr>
          <w:rFonts w:ascii="Arial" w:eastAsia="Times New Roman" w:hAnsi="Arial" w:cs="Arial"/>
          <w:color w:val="auto"/>
        </w:rPr>
      </w:pPr>
      <w:r w:rsidRPr="00150F13">
        <w:rPr>
          <w:rFonts w:ascii="Arial" w:eastAsia="Times New Roman" w:hAnsi="Arial" w:cs="Arial"/>
          <w:i/>
          <w:color w:val="auto"/>
        </w:rPr>
        <w:t xml:space="preserve">A: Degree and qualification point is the same as those trained through traditional routes and will need to meet the GMC </w:t>
      </w:r>
      <w:r w:rsidRPr="00C73684">
        <w:rPr>
          <w:rFonts w:ascii="Arial" w:eastAsia="Times New Roman" w:hAnsi="Arial" w:cs="Arial"/>
          <w:i/>
          <w:color w:val="auto"/>
        </w:rPr>
        <w:t>requirements</w:t>
      </w:r>
      <w:r w:rsidRPr="00C73684">
        <w:rPr>
          <w:rFonts w:ascii="Arial" w:eastAsia="Times New Roman" w:hAnsi="Arial" w:cs="Arial"/>
          <w:color w:val="auto"/>
        </w:rPr>
        <w:t>.</w:t>
      </w:r>
      <w:r w:rsidR="00C73684" w:rsidRPr="00C73684">
        <w:rPr>
          <w:rFonts w:ascii="Arial" w:eastAsia="Times New Roman" w:hAnsi="Arial" w:cs="Arial"/>
          <w:color w:val="auto"/>
        </w:rPr>
        <w:t xml:space="preserve"> </w:t>
      </w:r>
      <w:r w:rsidR="004A4A07" w:rsidRPr="00C73684">
        <w:rPr>
          <w:rFonts w:ascii="Arial" w:eastAsia="Times New Roman" w:hAnsi="Arial" w:cs="Arial"/>
          <w:color w:val="auto"/>
        </w:rPr>
        <w:t>The training is delivered through a medical school</w:t>
      </w:r>
    </w:p>
    <w:p w14:paraId="48E3FFD0" w14:textId="77777777" w:rsidR="003248BB" w:rsidRPr="00150F13" w:rsidRDefault="003248BB" w:rsidP="003248BB">
      <w:pPr>
        <w:pStyle w:val="ListParagraph"/>
        <w:spacing w:after="0" w:line="240" w:lineRule="auto"/>
        <w:ind w:left="360"/>
        <w:contextualSpacing w:val="0"/>
        <w:rPr>
          <w:rFonts w:ascii="Arial" w:eastAsia="Times New Roman" w:hAnsi="Arial" w:cs="Arial"/>
          <w:color w:val="auto"/>
        </w:rPr>
      </w:pPr>
    </w:p>
    <w:p w14:paraId="149CEE42" w14:textId="77777777" w:rsidR="003248BB" w:rsidRPr="00150F13" w:rsidRDefault="003248BB" w:rsidP="003248BB">
      <w:pPr>
        <w:pStyle w:val="ListParagraph"/>
        <w:numPr>
          <w:ilvl w:val="0"/>
          <w:numId w:val="1"/>
        </w:numPr>
        <w:spacing w:after="0" w:line="240" w:lineRule="auto"/>
        <w:ind w:left="360"/>
        <w:contextualSpacing w:val="0"/>
        <w:rPr>
          <w:rFonts w:ascii="Arial" w:eastAsia="Times New Roman" w:hAnsi="Arial" w:cs="Arial"/>
          <w:color w:val="auto"/>
        </w:rPr>
      </w:pPr>
      <w:r w:rsidRPr="00150F13">
        <w:rPr>
          <w:rFonts w:ascii="Arial" w:eastAsia="Times New Roman" w:hAnsi="Arial" w:cs="Arial"/>
          <w:color w:val="auto"/>
        </w:rPr>
        <w:t>What can apprentices do upon completion of the apprenticeship? (i.e. the anticipated career trajectory)</w:t>
      </w:r>
    </w:p>
    <w:p w14:paraId="636D0968" w14:textId="5D789D3B" w:rsidR="003248BB" w:rsidRPr="00150F13" w:rsidRDefault="003248BB" w:rsidP="003248BB">
      <w:pPr>
        <w:pStyle w:val="ListParagraph"/>
        <w:spacing w:after="0" w:line="240" w:lineRule="auto"/>
        <w:ind w:left="360"/>
        <w:contextualSpacing w:val="0"/>
        <w:rPr>
          <w:rFonts w:ascii="Arial" w:eastAsia="Times New Roman" w:hAnsi="Arial" w:cs="Arial"/>
          <w:i/>
          <w:color w:val="auto"/>
        </w:rPr>
      </w:pPr>
      <w:r w:rsidRPr="00150F13">
        <w:rPr>
          <w:rFonts w:ascii="Arial" w:eastAsia="Times New Roman" w:hAnsi="Arial" w:cs="Arial"/>
          <w:i/>
          <w:color w:val="auto"/>
        </w:rPr>
        <w:t xml:space="preserve">A: On completion they are </w:t>
      </w:r>
      <w:r w:rsidR="00775A48" w:rsidRPr="00C73684">
        <w:rPr>
          <w:rFonts w:ascii="Arial" w:eastAsia="Times New Roman" w:hAnsi="Arial" w:cs="Arial"/>
          <w:i/>
          <w:color w:val="auto"/>
        </w:rPr>
        <w:t xml:space="preserve">provisionally </w:t>
      </w:r>
      <w:r w:rsidRPr="00C73684">
        <w:rPr>
          <w:rFonts w:ascii="Arial" w:eastAsia="Times New Roman" w:hAnsi="Arial" w:cs="Arial"/>
          <w:i/>
          <w:color w:val="auto"/>
        </w:rPr>
        <w:t xml:space="preserve">GMC registered </w:t>
      </w:r>
      <w:r w:rsidR="004A4A07" w:rsidRPr="00C73684">
        <w:rPr>
          <w:rFonts w:ascii="Arial" w:eastAsia="Times New Roman" w:hAnsi="Arial" w:cs="Arial"/>
          <w:i/>
          <w:color w:val="auto"/>
        </w:rPr>
        <w:t>medical practitioners and are eligible to enter the Foundation Programme</w:t>
      </w:r>
    </w:p>
    <w:p w14:paraId="690EB3CB" w14:textId="77777777" w:rsidR="003248BB" w:rsidRPr="00150F13" w:rsidRDefault="003248BB" w:rsidP="003248BB">
      <w:pPr>
        <w:pStyle w:val="ListParagraph"/>
        <w:spacing w:after="0" w:line="240" w:lineRule="auto"/>
        <w:ind w:left="-360"/>
        <w:contextualSpacing w:val="0"/>
        <w:rPr>
          <w:rFonts w:ascii="Arial" w:eastAsia="Times New Roman" w:hAnsi="Arial" w:cs="Arial"/>
          <w:color w:val="auto"/>
        </w:rPr>
      </w:pPr>
    </w:p>
    <w:p w14:paraId="74146ADA" w14:textId="77777777" w:rsidR="003248BB" w:rsidRPr="00150F13" w:rsidRDefault="003248BB" w:rsidP="003248BB">
      <w:pPr>
        <w:pStyle w:val="ListParagraph"/>
        <w:numPr>
          <w:ilvl w:val="0"/>
          <w:numId w:val="1"/>
        </w:numPr>
        <w:spacing w:after="0" w:line="240" w:lineRule="auto"/>
        <w:ind w:left="360"/>
        <w:contextualSpacing w:val="0"/>
        <w:rPr>
          <w:rFonts w:ascii="Arial" w:eastAsia="Times New Roman" w:hAnsi="Arial" w:cs="Arial"/>
          <w:color w:val="auto"/>
        </w:rPr>
      </w:pPr>
      <w:r w:rsidRPr="00150F13">
        <w:rPr>
          <w:rFonts w:ascii="Arial" w:eastAsia="Times New Roman" w:hAnsi="Arial" w:cs="Arial"/>
          <w:color w:val="auto"/>
        </w:rPr>
        <w:t>What can apprentices do during the apprenticeship? (i.e. what is their role’s productive purpose)</w:t>
      </w:r>
    </w:p>
    <w:p w14:paraId="4E5433EA" w14:textId="34194E3B" w:rsidR="003248BB" w:rsidRPr="00150F13" w:rsidRDefault="003248BB" w:rsidP="003248BB">
      <w:pPr>
        <w:pStyle w:val="ListParagraph"/>
        <w:spacing w:after="0" w:line="240" w:lineRule="auto"/>
        <w:ind w:left="360"/>
        <w:contextualSpacing w:val="0"/>
        <w:rPr>
          <w:rFonts w:ascii="Arial" w:eastAsia="Times New Roman" w:hAnsi="Arial" w:cs="Arial"/>
          <w:i/>
          <w:color w:val="auto"/>
        </w:rPr>
      </w:pPr>
      <w:r w:rsidRPr="00150F13">
        <w:rPr>
          <w:rFonts w:ascii="Arial" w:eastAsia="Times New Roman" w:hAnsi="Arial" w:cs="Arial"/>
          <w:i/>
          <w:color w:val="auto"/>
        </w:rPr>
        <w:t xml:space="preserve">A: Same as medical students currently. See </w:t>
      </w:r>
      <w:r w:rsidR="00150F13" w:rsidRPr="00150F13">
        <w:rPr>
          <w:rFonts w:ascii="Arial" w:eastAsia="Times New Roman" w:hAnsi="Arial" w:cs="Arial"/>
          <w:i/>
          <w:color w:val="auto"/>
        </w:rPr>
        <w:t xml:space="preserve">accompanying </w:t>
      </w:r>
      <w:r w:rsidRPr="00150F13">
        <w:rPr>
          <w:rFonts w:ascii="Arial" w:eastAsia="Times New Roman" w:hAnsi="Arial" w:cs="Arial"/>
          <w:i/>
          <w:color w:val="auto"/>
        </w:rPr>
        <w:t>slides for conceptual ideas.</w:t>
      </w:r>
    </w:p>
    <w:p w14:paraId="0F5888A1" w14:textId="77777777" w:rsidR="003248BB" w:rsidRPr="00150F13" w:rsidRDefault="003248BB" w:rsidP="003248BB">
      <w:pPr>
        <w:pStyle w:val="ListParagraph"/>
        <w:spacing w:after="0" w:line="240" w:lineRule="auto"/>
        <w:ind w:left="-360"/>
        <w:contextualSpacing w:val="0"/>
        <w:rPr>
          <w:rFonts w:ascii="Arial" w:eastAsia="Times New Roman" w:hAnsi="Arial" w:cs="Arial"/>
          <w:color w:val="auto"/>
        </w:rPr>
      </w:pPr>
    </w:p>
    <w:p w14:paraId="527E3C30" w14:textId="77777777" w:rsidR="003248BB" w:rsidRPr="00150F13" w:rsidRDefault="003248BB" w:rsidP="003248BB">
      <w:pPr>
        <w:pStyle w:val="ListParagraph"/>
        <w:numPr>
          <w:ilvl w:val="0"/>
          <w:numId w:val="1"/>
        </w:numPr>
        <w:spacing w:after="0" w:line="240" w:lineRule="auto"/>
        <w:ind w:left="360"/>
        <w:contextualSpacing w:val="0"/>
        <w:rPr>
          <w:rFonts w:ascii="Arial" w:eastAsia="Times New Roman" w:hAnsi="Arial" w:cs="Arial"/>
          <w:color w:val="auto"/>
        </w:rPr>
      </w:pPr>
      <w:r w:rsidRPr="00150F13">
        <w:rPr>
          <w:rFonts w:ascii="Arial" w:eastAsia="Times New Roman" w:hAnsi="Arial" w:cs="Arial"/>
          <w:color w:val="auto"/>
        </w:rPr>
        <w:t>What will the contract of employment look like? (Duration must be at least 12 months so assume they stay in 1 setting?)</w:t>
      </w:r>
    </w:p>
    <w:p w14:paraId="4FD7E404" w14:textId="5E440638" w:rsidR="003248BB" w:rsidRPr="00150F13" w:rsidRDefault="003248BB" w:rsidP="003248BB">
      <w:pPr>
        <w:pStyle w:val="ListParagraph"/>
        <w:spacing w:after="0" w:line="240" w:lineRule="auto"/>
        <w:ind w:left="360"/>
        <w:contextualSpacing w:val="0"/>
        <w:rPr>
          <w:rFonts w:ascii="Arial" w:eastAsia="Times New Roman" w:hAnsi="Arial" w:cs="Arial"/>
          <w:i/>
          <w:color w:val="auto"/>
        </w:rPr>
      </w:pPr>
      <w:r w:rsidRPr="00150F13">
        <w:rPr>
          <w:rFonts w:ascii="Arial" w:eastAsia="Times New Roman" w:hAnsi="Arial" w:cs="Arial"/>
          <w:i/>
          <w:color w:val="auto"/>
        </w:rPr>
        <w:t xml:space="preserve">A: Apprentice employer will recruit and issue the contract this will vary on a case by case basis. The contract will cover the duration of the apprenticeship. It will be </w:t>
      </w:r>
      <w:r w:rsidRPr="00C73684">
        <w:rPr>
          <w:rFonts w:ascii="Arial" w:eastAsia="Times New Roman" w:hAnsi="Arial" w:cs="Arial"/>
          <w:i/>
          <w:color w:val="auto"/>
        </w:rPr>
        <w:t>possible for apprentices to be seconded to other employers to cover breadth and</w:t>
      </w:r>
      <w:r w:rsidR="004A4A07" w:rsidRPr="00C73684">
        <w:rPr>
          <w:rFonts w:ascii="Arial" w:eastAsia="Times New Roman" w:hAnsi="Arial" w:cs="Arial"/>
          <w:i/>
          <w:color w:val="auto"/>
        </w:rPr>
        <w:t xml:space="preserve"> achieve O</w:t>
      </w:r>
      <w:r w:rsidRPr="00C73684">
        <w:rPr>
          <w:rFonts w:ascii="Arial" w:eastAsia="Times New Roman" w:hAnsi="Arial" w:cs="Arial"/>
          <w:i/>
          <w:color w:val="auto"/>
        </w:rPr>
        <w:t xml:space="preserve">utcomes for </w:t>
      </w:r>
      <w:r w:rsidR="004A4A07" w:rsidRPr="00C73684">
        <w:rPr>
          <w:rFonts w:ascii="Arial" w:eastAsia="Times New Roman" w:hAnsi="Arial" w:cs="Arial"/>
          <w:i/>
          <w:color w:val="auto"/>
        </w:rPr>
        <w:t>G</w:t>
      </w:r>
      <w:r w:rsidRPr="00C73684">
        <w:rPr>
          <w:rFonts w:ascii="Arial" w:eastAsia="Times New Roman" w:hAnsi="Arial" w:cs="Arial"/>
          <w:i/>
          <w:color w:val="auto"/>
        </w:rPr>
        <w:t>raduates.</w:t>
      </w:r>
    </w:p>
    <w:p w14:paraId="28533A7B" w14:textId="77777777" w:rsidR="003248BB" w:rsidRPr="00150F13" w:rsidRDefault="003248BB" w:rsidP="003248BB">
      <w:pPr>
        <w:pStyle w:val="ListParagraph"/>
        <w:spacing w:after="0" w:line="240" w:lineRule="auto"/>
        <w:ind w:left="-360"/>
        <w:contextualSpacing w:val="0"/>
        <w:rPr>
          <w:rFonts w:ascii="Arial" w:eastAsia="Times New Roman" w:hAnsi="Arial" w:cs="Arial"/>
          <w:color w:val="auto"/>
        </w:rPr>
      </w:pPr>
    </w:p>
    <w:p w14:paraId="1BF75009" w14:textId="77777777" w:rsidR="003248BB" w:rsidRPr="00150F13" w:rsidRDefault="003248BB" w:rsidP="003248BB">
      <w:pPr>
        <w:pStyle w:val="ListParagraph"/>
        <w:numPr>
          <w:ilvl w:val="0"/>
          <w:numId w:val="1"/>
        </w:numPr>
        <w:spacing w:after="0" w:line="240" w:lineRule="auto"/>
        <w:ind w:left="360"/>
        <w:contextualSpacing w:val="0"/>
        <w:rPr>
          <w:rFonts w:ascii="Arial" w:eastAsia="Times New Roman" w:hAnsi="Arial" w:cs="Arial"/>
          <w:color w:val="auto"/>
        </w:rPr>
      </w:pPr>
      <w:r w:rsidRPr="00150F13">
        <w:rPr>
          <w:rFonts w:ascii="Arial" w:eastAsia="Times New Roman" w:hAnsi="Arial" w:cs="Arial"/>
          <w:color w:val="auto"/>
        </w:rPr>
        <w:t>Who is funding this, and how? (Just the levy?)</w:t>
      </w:r>
    </w:p>
    <w:p w14:paraId="79C62A74" w14:textId="3888C4E5" w:rsidR="003248BB" w:rsidRPr="00150F13" w:rsidRDefault="003248BB" w:rsidP="003248BB">
      <w:pPr>
        <w:pStyle w:val="ListParagraph"/>
        <w:spacing w:after="0" w:line="240" w:lineRule="auto"/>
        <w:ind w:left="360"/>
        <w:contextualSpacing w:val="0"/>
        <w:rPr>
          <w:rFonts w:ascii="Arial" w:eastAsia="Times New Roman" w:hAnsi="Arial" w:cs="Arial"/>
          <w:i/>
          <w:color w:val="auto"/>
        </w:rPr>
      </w:pPr>
      <w:r w:rsidRPr="00150F13">
        <w:rPr>
          <w:rFonts w:ascii="Arial" w:eastAsia="Times New Roman" w:hAnsi="Arial" w:cs="Arial"/>
          <w:i/>
          <w:color w:val="auto"/>
        </w:rPr>
        <w:t>A: Evidence based funding recommendations is based on detailed costing and the max allocated is £</w:t>
      </w:r>
      <w:r w:rsidRPr="00FD4B03">
        <w:rPr>
          <w:rFonts w:ascii="Arial" w:eastAsia="Times New Roman" w:hAnsi="Arial" w:cs="Arial"/>
          <w:i/>
          <w:color w:val="auto"/>
        </w:rPr>
        <w:t>27k</w:t>
      </w:r>
      <w:r w:rsidR="004A4A07" w:rsidRPr="00FD4B03">
        <w:rPr>
          <w:rFonts w:ascii="Arial" w:eastAsia="Times New Roman" w:hAnsi="Arial" w:cs="Arial"/>
          <w:i/>
          <w:color w:val="auto"/>
        </w:rPr>
        <w:t xml:space="preserve"> currently but would be subject to fu</w:t>
      </w:r>
      <w:r w:rsidR="00FD4B03">
        <w:rPr>
          <w:rFonts w:ascii="Arial" w:eastAsia="Times New Roman" w:hAnsi="Arial" w:cs="Arial"/>
          <w:i/>
          <w:color w:val="auto"/>
        </w:rPr>
        <w:t>r</w:t>
      </w:r>
      <w:r w:rsidR="004A4A07" w:rsidRPr="00FD4B03">
        <w:rPr>
          <w:rFonts w:ascii="Arial" w:eastAsia="Times New Roman" w:hAnsi="Arial" w:cs="Arial"/>
          <w:i/>
          <w:color w:val="auto"/>
        </w:rPr>
        <w:t>ther discussion as this is based on current courses which are shorter</w:t>
      </w:r>
      <w:r w:rsidR="0005545E">
        <w:rPr>
          <w:rFonts w:ascii="Arial" w:eastAsia="Times New Roman" w:hAnsi="Arial" w:cs="Arial"/>
          <w:i/>
          <w:color w:val="auto"/>
        </w:rPr>
        <w:t>.</w:t>
      </w:r>
      <w:r w:rsidRPr="00FD4B03">
        <w:rPr>
          <w:rFonts w:ascii="Arial" w:eastAsia="Times New Roman" w:hAnsi="Arial" w:cs="Arial"/>
          <w:i/>
          <w:color w:val="auto"/>
        </w:rPr>
        <w:t xml:space="preserve"> This also applies for non-levy paying employers.</w:t>
      </w:r>
    </w:p>
    <w:p w14:paraId="4257A564" w14:textId="77777777" w:rsidR="003248BB" w:rsidRPr="00150F13" w:rsidRDefault="003248BB" w:rsidP="003248BB">
      <w:pPr>
        <w:pStyle w:val="ListParagraph"/>
        <w:spacing w:after="0" w:line="240" w:lineRule="auto"/>
        <w:ind w:left="-360"/>
        <w:contextualSpacing w:val="0"/>
        <w:rPr>
          <w:rFonts w:ascii="Arial" w:eastAsia="Times New Roman" w:hAnsi="Arial" w:cs="Arial"/>
          <w:color w:val="auto"/>
        </w:rPr>
      </w:pPr>
    </w:p>
    <w:p w14:paraId="3770D3E8" w14:textId="77777777" w:rsidR="003248BB" w:rsidRPr="00150F13" w:rsidRDefault="003248BB" w:rsidP="003248BB">
      <w:pPr>
        <w:numPr>
          <w:ilvl w:val="0"/>
          <w:numId w:val="1"/>
        </w:numPr>
        <w:ind w:left="360"/>
        <w:rPr>
          <w:rFonts w:eastAsia="Times New Roman" w:cs="Arial"/>
          <w:sz w:val="22"/>
          <w:szCs w:val="22"/>
        </w:rPr>
      </w:pPr>
      <w:r w:rsidRPr="00150F13">
        <w:rPr>
          <w:rFonts w:eastAsia="Times New Roman" w:cs="Arial"/>
          <w:sz w:val="22"/>
          <w:szCs w:val="22"/>
        </w:rPr>
        <w:t>What is the national driver for this?</w:t>
      </w:r>
    </w:p>
    <w:p w14:paraId="7E7E384E" w14:textId="5389F112" w:rsidR="003248BB" w:rsidRPr="00150F13" w:rsidRDefault="003248BB" w:rsidP="003248BB">
      <w:pPr>
        <w:ind w:left="360"/>
        <w:rPr>
          <w:rFonts w:eastAsia="Times New Roman" w:cs="Arial"/>
          <w:i/>
          <w:sz w:val="22"/>
          <w:szCs w:val="22"/>
        </w:rPr>
      </w:pPr>
      <w:r w:rsidRPr="00150F13">
        <w:rPr>
          <w:rFonts w:eastAsia="Times New Roman" w:cs="Arial"/>
          <w:i/>
          <w:sz w:val="22"/>
          <w:szCs w:val="22"/>
        </w:rPr>
        <w:t xml:space="preserve">A: See accompanying briefing slides on details relating to the NHS Long Term Plan, HEE People Plan, Widening Participation agenda, geographical distribution of workforce, employer driven. </w:t>
      </w:r>
    </w:p>
    <w:p w14:paraId="0C0F33F1" w14:textId="77777777" w:rsidR="003248BB" w:rsidRPr="00150F13" w:rsidRDefault="003248BB" w:rsidP="003248BB">
      <w:pPr>
        <w:ind w:left="-360" w:firstLine="720"/>
        <w:rPr>
          <w:rFonts w:eastAsia="Times New Roman" w:cs="Arial"/>
          <w:i/>
          <w:sz w:val="22"/>
          <w:szCs w:val="22"/>
        </w:rPr>
      </w:pPr>
    </w:p>
    <w:p w14:paraId="2D3B1A68" w14:textId="77777777" w:rsidR="003248BB" w:rsidRPr="00150F13" w:rsidRDefault="003248BB" w:rsidP="003248BB">
      <w:pPr>
        <w:numPr>
          <w:ilvl w:val="0"/>
          <w:numId w:val="1"/>
        </w:numPr>
        <w:ind w:left="360"/>
        <w:rPr>
          <w:rFonts w:eastAsia="Times New Roman" w:cs="Arial"/>
          <w:sz w:val="22"/>
          <w:szCs w:val="22"/>
        </w:rPr>
      </w:pPr>
      <w:r w:rsidRPr="00150F13">
        <w:rPr>
          <w:rFonts w:eastAsia="Times New Roman" w:cs="Arial"/>
          <w:sz w:val="22"/>
          <w:szCs w:val="22"/>
        </w:rPr>
        <w:t xml:space="preserve">Will this apprenticeship be restricted to those who currently deliver medicine? </w:t>
      </w:r>
    </w:p>
    <w:p w14:paraId="4F70C3CC" w14:textId="691D3432" w:rsidR="003248BB" w:rsidRPr="00150F13" w:rsidRDefault="003248BB" w:rsidP="003248BB">
      <w:pPr>
        <w:pStyle w:val="ListParagraph"/>
        <w:ind w:left="0" w:firstLine="360"/>
        <w:rPr>
          <w:rFonts w:ascii="Arial" w:eastAsia="Times New Roman" w:hAnsi="Arial" w:cs="Arial"/>
          <w:i/>
          <w:color w:val="auto"/>
        </w:rPr>
      </w:pPr>
      <w:r w:rsidRPr="00150F13">
        <w:rPr>
          <w:rFonts w:ascii="Arial" w:eastAsia="Times New Roman" w:hAnsi="Arial" w:cs="Arial"/>
          <w:i/>
          <w:color w:val="auto"/>
        </w:rPr>
        <w:t>A: Yes, providers will need to meet GMC requirements.</w:t>
      </w:r>
    </w:p>
    <w:p w14:paraId="341455E8" w14:textId="77777777" w:rsidR="003248BB" w:rsidRPr="00150F13" w:rsidRDefault="003248BB" w:rsidP="003248BB">
      <w:pPr>
        <w:numPr>
          <w:ilvl w:val="0"/>
          <w:numId w:val="1"/>
        </w:numPr>
        <w:ind w:left="360"/>
        <w:rPr>
          <w:rFonts w:eastAsia="Times New Roman" w:cs="Arial"/>
          <w:sz w:val="22"/>
          <w:szCs w:val="22"/>
        </w:rPr>
      </w:pPr>
      <w:r w:rsidRPr="00150F13">
        <w:rPr>
          <w:rFonts w:eastAsia="Times New Roman" w:cs="Arial"/>
          <w:sz w:val="22"/>
          <w:szCs w:val="22"/>
        </w:rPr>
        <w:t>Is this for under-graduate or post-graduate entry (or both)?</w:t>
      </w:r>
    </w:p>
    <w:p w14:paraId="0B30753C" w14:textId="3179E72B" w:rsidR="003248BB" w:rsidRPr="00150F13" w:rsidRDefault="003248BB" w:rsidP="003248BB">
      <w:pPr>
        <w:ind w:left="360"/>
        <w:rPr>
          <w:rFonts w:eastAsia="Times New Roman" w:cs="Arial"/>
          <w:i/>
          <w:sz w:val="22"/>
          <w:szCs w:val="22"/>
        </w:rPr>
      </w:pPr>
      <w:r w:rsidRPr="00150F13">
        <w:rPr>
          <w:rFonts w:eastAsia="Times New Roman" w:cs="Arial"/>
          <w:i/>
          <w:sz w:val="22"/>
          <w:szCs w:val="22"/>
        </w:rPr>
        <w:t>A: Both. See accompanying briefing slides for further details.</w:t>
      </w:r>
    </w:p>
    <w:p w14:paraId="5D0E2B01" w14:textId="77777777" w:rsidR="003248BB" w:rsidRPr="00150F13" w:rsidRDefault="003248BB" w:rsidP="003248BB">
      <w:pPr>
        <w:ind w:left="360"/>
        <w:rPr>
          <w:rFonts w:eastAsia="Times New Roman" w:cs="Arial"/>
          <w:sz w:val="22"/>
          <w:szCs w:val="22"/>
        </w:rPr>
      </w:pPr>
    </w:p>
    <w:p w14:paraId="0394A5A6" w14:textId="77777777" w:rsidR="003248BB" w:rsidRPr="00150F13" w:rsidRDefault="003248BB" w:rsidP="003248BB">
      <w:pPr>
        <w:numPr>
          <w:ilvl w:val="0"/>
          <w:numId w:val="1"/>
        </w:numPr>
        <w:ind w:left="360"/>
        <w:rPr>
          <w:rFonts w:eastAsia="Times New Roman" w:cs="Arial"/>
          <w:sz w:val="22"/>
          <w:szCs w:val="22"/>
        </w:rPr>
      </w:pPr>
      <w:r w:rsidRPr="00150F13">
        <w:rPr>
          <w:rFonts w:eastAsia="Times New Roman" w:cs="Arial"/>
          <w:sz w:val="22"/>
          <w:szCs w:val="22"/>
        </w:rPr>
        <w:t xml:space="preserve">The funding is capped by </w:t>
      </w:r>
      <w:proofErr w:type="spellStart"/>
      <w:r w:rsidRPr="00150F13">
        <w:rPr>
          <w:rFonts w:eastAsia="Times New Roman" w:cs="Arial"/>
          <w:sz w:val="22"/>
          <w:szCs w:val="22"/>
        </w:rPr>
        <w:t>IfATE</w:t>
      </w:r>
      <w:proofErr w:type="spellEnd"/>
      <w:r w:rsidRPr="00150F13">
        <w:rPr>
          <w:rFonts w:eastAsia="Times New Roman" w:cs="Arial"/>
          <w:sz w:val="22"/>
          <w:szCs w:val="22"/>
        </w:rPr>
        <w:t xml:space="preserve"> at £27k for all apprenticeships. Would this be increased to ensure viability?</w:t>
      </w:r>
    </w:p>
    <w:p w14:paraId="78A39470" w14:textId="45B41641" w:rsidR="003248BB" w:rsidRPr="00150F13" w:rsidRDefault="003248BB" w:rsidP="003248BB">
      <w:pPr>
        <w:ind w:left="360"/>
        <w:rPr>
          <w:rFonts w:eastAsia="Times New Roman" w:cs="Arial"/>
          <w:i/>
          <w:sz w:val="22"/>
          <w:szCs w:val="22"/>
        </w:rPr>
      </w:pPr>
      <w:r w:rsidRPr="00150F13">
        <w:rPr>
          <w:rFonts w:eastAsia="Times New Roman" w:cs="Arial"/>
          <w:i/>
          <w:sz w:val="22"/>
          <w:szCs w:val="22"/>
        </w:rPr>
        <w:t>A: HEE is currently exploring what further support could be made available.</w:t>
      </w:r>
    </w:p>
    <w:p w14:paraId="3682834D" w14:textId="77777777" w:rsidR="003248BB" w:rsidRPr="00150F13" w:rsidRDefault="003248BB" w:rsidP="003248BB">
      <w:pPr>
        <w:ind w:left="360"/>
        <w:rPr>
          <w:rFonts w:eastAsia="Times New Roman" w:cs="Arial"/>
          <w:sz w:val="22"/>
          <w:szCs w:val="22"/>
        </w:rPr>
      </w:pPr>
      <w:r w:rsidRPr="00150F13">
        <w:rPr>
          <w:rFonts w:eastAsia="Times New Roman" w:cs="Arial"/>
          <w:sz w:val="22"/>
          <w:szCs w:val="22"/>
        </w:rPr>
        <w:t xml:space="preserve"> </w:t>
      </w:r>
    </w:p>
    <w:p w14:paraId="47F3E921" w14:textId="77777777" w:rsidR="003248BB" w:rsidRPr="00150F13" w:rsidRDefault="003248BB" w:rsidP="003248BB">
      <w:pPr>
        <w:numPr>
          <w:ilvl w:val="0"/>
          <w:numId w:val="1"/>
        </w:numPr>
        <w:ind w:left="360"/>
        <w:rPr>
          <w:rFonts w:eastAsia="Times New Roman" w:cs="Arial"/>
          <w:sz w:val="22"/>
          <w:szCs w:val="22"/>
        </w:rPr>
      </w:pPr>
      <w:r w:rsidRPr="00150F13">
        <w:rPr>
          <w:rFonts w:eastAsia="Times New Roman" w:cs="Arial"/>
          <w:sz w:val="22"/>
          <w:szCs w:val="22"/>
        </w:rPr>
        <w:t>Placement tariff- no placement tariff is currently paid for healthcare apprenticeships and the cost is absorbed by the NHS/GPs/private companies. Given the medical education tariff is significantly higher than the non-medical tariff and there needs to be a greater rotation of placements over the 5 years, would this be considered? Otherwise it would be better for an organisation to continue to take traditional medical students and be paid for it.</w:t>
      </w:r>
    </w:p>
    <w:p w14:paraId="73436DC1" w14:textId="67FB36CF" w:rsidR="003248BB" w:rsidRPr="00150F13" w:rsidRDefault="003248BB" w:rsidP="003248BB">
      <w:pPr>
        <w:ind w:left="360"/>
        <w:rPr>
          <w:rFonts w:eastAsia="Times New Roman" w:cs="Arial"/>
          <w:i/>
          <w:sz w:val="22"/>
          <w:szCs w:val="22"/>
        </w:rPr>
      </w:pPr>
      <w:r w:rsidRPr="00150F13">
        <w:rPr>
          <w:rFonts w:eastAsia="Times New Roman" w:cs="Arial"/>
          <w:i/>
          <w:sz w:val="22"/>
          <w:szCs w:val="22"/>
        </w:rPr>
        <w:t xml:space="preserve">A:This will be </w:t>
      </w:r>
      <w:proofErr w:type="gramStart"/>
      <w:r w:rsidRPr="00150F13">
        <w:rPr>
          <w:rFonts w:eastAsia="Times New Roman" w:cs="Arial"/>
          <w:i/>
          <w:sz w:val="22"/>
          <w:szCs w:val="22"/>
        </w:rPr>
        <w:t>taken into account</w:t>
      </w:r>
      <w:proofErr w:type="gramEnd"/>
      <w:r w:rsidRPr="00150F13">
        <w:rPr>
          <w:rFonts w:eastAsia="Times New Roman" w:cs="Arial"/>
          <w:i/>
          <w:sz w:val="22"/>
          <w:szCs w:val="22"/>
        </w:rPr>
        <w:t xml:space="preserve"> during the financial modelling.</w:t>
      </w:r>
    </w:p>
    <w:p w14:paraId="7CD66BFD" w14:textId="77777777" w:rsidR="003248BB" w:rsidRPr="00150F13" w:rsidRDefault="003248BB" w:rsidP="003248BB">
      <w:pPr>
        <w:ind w:left="360"/>
        <w:rPr>
          <w:rFonts w:eastAsia="Times New Roman" w:cs="Arial"/>
          <w:sz w:val="22"/>
          <w:szCs w:val="22"/>
        </w:rPr>
      </w:pPr>
    </w:p>
    <w:p w14:paraId="48F9B1E2" w14:textId="77777777" w:rsidR="003248BB" w:rsidRPr="00150F13" w:rsidRDefault="003248BB" w:rsidP="003248BB">
      <w:pPr>
        <w:numPr>
          <w:ilvl w:val="0"/>
          <w:numId w:val="1"/>
        </w:numPr>
        <w:ind w:left="360"/>
        <w:rPr>
          <w:rFonts w:eastAsia="Times New Roman" w:cs="Arial"/>
          <w:sz w:val="22"/>
          <w:szCs w:val="22"/>
        </w:rPr>
      </w:pPr>
      <w:r w:rsidRPr="00150F13">
        <w:rPr>
          <w:rFonts w:eastAsia="Times New Roman" w:cs="Arial"/>
          <w:sz w:val="22"/>
          <w:szCs w:val="22"/>
        </w:rPr>
        <w:t>How would placements/rotations be organised? There are considerable administration costs associated with this. Currently trusts are doing this themselves for other healthcare apprenticeships with money from the levy pot, but the current model would not easily support the cost of the complexity for medical apprentices</w:t>
      </w:r>
    </w:p>
    <w:p w14:paraId="2E2A1760" w14:textId="5B9F57E2" w:rsidR="003248BB" w:rsidRPr="003A4BC1" w:rsidRDefault="003248BB" w:rsidP="003248BB">
      <w:pPr>
        <w:ind w:firstLine="360"/>
        <w:rPr>
          <w:rFonts w:eastAsia="Times New Roman" w:cs="Arial"/>
          <w:i/>
          <w:sz w:val="22"/>
          <w:szCs w:val="22"/>
        </w:rPr>
      </w:pPr>
      <w:r w:rsidRPr="003A4BC1">
        <w:rPr>
          <w:rFonts w:eastAsia="Times New Roman" w:cs="Arial"/>
          <w:i/>
          <w:sz w:val="22"/>
          <w:szCs w:val="22"/>
        </w:rPr>
        <w:lastRenderedPageBreak/>
        <w:t xml:space="preserve">A:This will be taken into account during the financial </w:t>
      </w:r>
      <w:r w:rsidRPr="000903E7">
        <w:rPr>
          <w:rFonts w:eastAsia="Times New Roman" w:cs="Arial"/>
          <w:i/>
          <w:sz w:val="22"/>
          <w:szCs w:val="22"/>
        </w:rPr>
        <w:t>modelling</w:t>
      </w:r>
      <w:r w:rsidR="004A4A07" w:rsidRPr="000903E7">
        <w:rPr>
          <w:rFonts w:eastAsia="Times New Roman" w:cs="Arial"/>
          <w:i/>
          <w:sz w:val="22"/>
          <w:szCs w:val="22"/>
        </w:rPr>
        <w:t xml:space="preserve"> and potential support models</w:t>
      </w:r>
      <w:r w:rsidR="000903E7">
        <w:rPr>
          <w:rFonts w:eastAsia="Times New Roman" w:cs="Arial"/>
          <w:i/>
          <w:sz w:val="22"/>
          <w:szCs w:val="22"/>
        </w:rPr>
        <w:t>.</w:t>
      </w:r>
      <w:bookmarkStart w:id="0" w:name="_GoBack"/>
      <w:bookmarkEnd w:id="0"/>
    </w:p>
    <w:p w14:paraId="1FCF8369" w14:textId="77777777" w:rsidR="003248BB" w:rsidRPr="00150F13" w:rsidRDefault="003248BB" w:rsidP="003248BB">
      <w:pPr>
        <w:ind w:left="360"/>
        <w:rPr>
          <w:rFonts w:eastAsia="Times New Roman" w:cs="Arial"/>
          <w:sz w:val="22"/>
          <w:szCs w:val="22"/>
        </w:rPr>
      </w:pPr>
    </w:p>
    <w:p w14:paraId="76F11C32" w14:textId="77777777" w:rsidR="003248BB" w:rsidRPr="00150F13" w:rsidRDefault="003248BB" w:rsidP="003248BB">
      <w:pPr>
        <w:numPr>
          <w:ilvl w:val="0"/>
          <w:numId w:val="1"/>
        </w:numPr>
        <w:ind w:left="360"/>
        <w:rPr>
          <w:rFonts w:eastAsia="Times New Roman" w:cs="Arial"/>
          <w:sz w:val="22"/>
          <w:szCs w:val="22"/>
        </w:rPr>
      </w:pPr>
      <w:r w:rsidRPr="00150F13">
        <w:rPr>
          <w:rFonts w:eastAsia="Times New Roman" w:cs="Arial"/>
          <w:sz w:val="22"/>
          <w:szCs w:val="22"/>
        </w:rPr>
        <w:t xml:space="preserve">Is an integrated EPA being considered? The issues with a non-integrated version have been highlighted by the TNA/RN EPA </w:t>
      </w:r>
      <w:proofErr w:type="spellStart"/>
      <w:r w:rsidRPr="00150F13">
        <w:rPr>
          <w:rFonts w:eastAsia="Times New Roman" w:cs="Arial"/>
          <w:sz w:val="22"/>
          <w:szCs w:val="22"/>
        </w:rPr>
        <w:t>Covid</w:t>
      </w:r>
      <w:proofErr w:type="spellEnd"/>
      <w:r w:rsidRPr="00150F13">
        <w:rPr>
          <w:rFonts w:eastAsia="Times New Roman" w:cs="Arial"/>
          <w:sz w:val="22"/>
          <w:szCs w:val="22"/>
        </w:rPr>
        <w:t xml:space="preserve"> issue.</w:t>
      </w:r>
    </w:p>
    <w:p w14:paraId="1AD3AE31" w14:textId="453D3F9E" w:rsidR="003248BB" w:rsidRPr="00150F13" w:rsidRDefault="00150F13" w:rsidP="003248BB">
      <w:pPr>
        <w:ind w:left="360"/>
        <w:rPr>
          <w:rFonts w:eastAsia="Times New Roman" w:cs="Arial"/>
          <w:i/>
          <w:sz w:val="22"/>
          <w:szCs w:val="22"/>
        </w:rPr>
      </w:pPr>
      <w:r w:rsidRPr="00150F13">
        <w:rPr>
          <w:rFonts w:eastAsia="Times New Roman" w:cs="Arial"/>
          <w:i/>
          <w:sz w:val="22"/>
          <w:szCs w:val="22"/>
        </w:rPr>
        <w:t xml:space="preserve">A: </w:t>
      </w:r>
      <w:r w:rsidR="003248BB" w:rsidRPr="00150F13">
        <w:rPr>
          <w:rFonts w:eastAsia="Times New Roman" w:cs="Arial"/>
          <w:i/>
          <w:sz w:val="22"/>
          <w:szCs w:val="22"/>
        </w:rPr>
        <w:t>In order to determine whether the EPA is taken before or after a degree, this will be determined by whether the MLA is integrated into the medical degree apprenticeship. An integrated degree apprenticeship will have a proportion of credits awarded to the EPA.  Typical ratios awarded to an EPA if its integrated is 20credits for EPA vs 340credits awarded to learning. The more credits an EPA has the less allocated learning time apprentices will have. It’s unclear at this stage whether the MLA will be integrated or not, however students will need to have completed all requirements from medical school.</w:t>
      </w:r>
    </w:p>
    <w:p w14:paraId="45CE4360" w14:textId="77777777" w:rsidR="003248BB" w:rsidRPr="00150F13" w:rsidRDefault="003248BB" w:rsidP="003248BB">
      <w:pPr>
        <w:ind w:left="-360"/>
        <w:rPr>
          <w:rFonts w:eastAsia="Times New Roman" w:cs="Arial"/>
          <w:sz w:val="22"/>
          <w:szCs w:val="22"/>
        </w:rPr>
      </w:pPr>
    </w:p>
    <w:p w14:paraId="14FB8ED9" w14:textId="77777777" w:rsidR="003248BB" w:rsidRPr="00150F13" w:rsidRDefault="003248BB" w:rsidP="003248BB">
      <w:pPr>
        <w:numPr>
          <w:ilvl w:val="0"/>
          <w:numId w:val="1"/>
        </w:numPr>
        <w:ind w:left="360"/>
        <w:rPr>
          <w:rFonts w:eastAsia="Times New Roman" w:cs="Arial"/>
          <w:sz w:val="22"/>
          <w:szCs w:val="22"/>
        </w:rPr>
      </w:pPr>
      <w:r w:rsidRPr="00150F13">
        <w:rPr>
          <w:rFonts w:eastAsia="Times New Roman" w:cs="Arial"/>
          <w:sz w:val="22"/>
          <w:szCs w:val="22"/>
        </w:rPr>
        <w:t>This would be an amazing widening participation opportunity, is the salary being considered nationally? Also, the entry tariff and English/maths? A medical apprentice really would struggle without English and maths at the beginning</w:t>
      </w:r>
    </w:p>
    <w:p w14:paraId="11A3CD90" w14:textId="4C24249C" w:rsidR="003248BB" w:rsidRPr="00150F13" w:rsidRDefault="00150F13" w:rsidP="003248BB">
      <w:pPr>
        <w:ind w:left="360"/>
        <w:rPr>
          <w:rFonts w:eastAsia="Times New Roman" w:cs="Arial"/>
          <w:i/>
          <w:sz w:val="22"/>
          <w:szCs w:val="22"/>
        </w:rPr>
      </w:pPr>
      <w:r w:rsidRPr="00150F13">
        <w:rPr>
          <w:rFonts w:eastAsia="Times New Roman" w:cs="Arial"/>
          <w:i/>
          <w:sz w:val="22"/>
          <w:szCs w:val="22"/>
        </w:rPr>
        <w:t xml:space="preserve">A: </w:t>
      </w:r>
      <w:r w:rsidR="003248BB" w:rsidRPr="00150F13">
        <w:rPr>
          <w:rFonts w:eastAsia="Times New Roman" w:cs="Arial"/>
          <w:i/>
          <w:sz w:val="22"/>
          <w:szCs w:val="22"/>
        </w:rPr>
        <w:t xml:space="preserve">Salary – see slides </w:t>
      </w:r>
    </w:p>
    <w:p w14:paraId="5411BFAA" w14:textId="77777777" w:rsidR="003248BB" w:rsidRPr="00150F13" w:rsidRDefault="003248BB" w:rsidP="003248BB">
      <w:pPr>
        <w:ind w:left="360"/>
        <w:rPr>
          <w:rFonts w:eastAsia="Times New Roman" w:cs="Arial"/>
          <w:i/>
          <w:sz w:val="22"/>
          <w:szCs w:val="22"/>
        </w:rPr>
      </w:pPr>
      <w:r w:rsidRPr="00150F13">
        <w:rPr>
          <w:rFonts w:eastAsia="Times New Roman" w:cs="Arial"/>
          <w:i/>
          <w:sz w:val="22"/>
          <w:szCs w:val="22"/>
        </w:rPr>
        <w:t>English and Maths – Experience from other employers, recommend English and Maths prior to joining the apprenticeship.</w:t>
      </w:r>
    </w:p>
    <w:p w14:paraId="47F2B8FF" w14:textId="77777777" w:rsidR="003248BB" w:rsidRPr="00150F13" w:rsidRDefault="003248BB" w:rsidP="003248BB">
      <w:pPr>
        <w:ind w:left="360"/>
        <w:rPr>
          <w:rFonts w:eastAsia="Times New Roman" w:cs="Arial"/>
          <w:i/>
          <w:sz w:val="22"/>
          <w:szCs w:val="22"/>
        </w:rPr>
      </w:pPr>
      <w:r w:rsidRPr="00150F13">
        <w:rPr>
          <w:rFonts w:eastAsia="Times New Roman" w:cs="Arial"/>
          <w:i/>
          <w:sz w:val="22"/>
          <w:szCs w:val="22"/>
        </w:rPr>
        <w:t>Contextual admission portfolios will also be considered by employers.</w:t>
      </w:r>
    </w:p>
    <w:p w14:paraId="45AFD91E" w14:textId="77777777" w:rsidR="003248BB" w:rsidRPr="00150F13" w:rsidRDefault="003248BB" w:rsidP="003248BB">
      <w:pPr>
        <w:ind w:left="360"/>
        <w:rPr>
          <w:rFonts w:eastAsia="Times New Roman" w:cs="Arial"/>
          <w:sz w:val="22"/>
          <w:szCs w:val="22"/>
        </w:rPr>
      </w:pPr>
    </w:p>
    <w:p w14:paraId="06291C82" w14:textId="77777777" w:rsidR="003248BB" w:rsidRPr="00150F13" w:rsidRDefault="003248BB" w:rsidP="003248BB">
      <w:pPr>
        <w:numPr>
          <w:ilvl w:val="0"/>
          <w:numId w:val="1"/>
        </w:numPr>
        <w:ind w:left="360"/>
        <w:rPr>
          <w:rFonts w:eastAsia="Times New Roman" w:cs="Arial"/>
          <w:sz w:val="22"/>
          <w:szCs w:val="22"/>
        </w:rPr>
      </w:pPr>
      <w:r w:rsidRPr="00150F13">
        <w:rPr>
          <w:rFonts w:eastAsia="Times New Roman" w:cs="Arial"/>
          <w:sz w:val="22"/>
          <w:szCs w:val="22"/>
        </w:rPr>
        <w:t>How would smaller organisations such as GP practices be supported to deliver the programme?</w:t>
      </w:r>
    </w:p>
    <w:p w14:paraId="72375B13" w14:textId="2B07C732" w:rsidR="003248BB" w:rsidRPr="00150F13" w:rsidRDefault="00150F13" w:rsidP="003248BB">
      <w:pPr>
        <w:ind w:left="360"/>
        <w:rPr>
          <w:rFonts w:eastAsia="Times New Roman" w:cs="Arial"/>
          <w:i/>
          <w:sz w:val="22"/>
          <w:szCs w:val="22"/>
        </w:rPr>
      </w:pPr>
      <w:r w:rsidRPr="00150F13">
        <w:rPr>
          <w:rFonts w:eastAsia="Times New Roman" w:cs="Arial"/>
          <w:i/>
          <w:sz w:val="22"/>
          <w:szCs w:val="22"/>
        </w:rPr>
        <w:t>A:</w:t>
      </w:r>
      <w:r w:rsidR="003248BB" w:rsidRPr="00150F13">
        <w:rPr>
          <w:rFonts w:eastAsia="Times New Roman" w:cs="Arial"/>
          <w:i/>
          <w:sz w:val="22"/>
          <w:szCs w:val="22"/>
        </w:rPr>
        <w:t>Smaller employers can access government funding and levy.</w:t>
      </w:r>
    </w:p>
    <w:p w14:paraId="50ADDC6A" w14:textId="77777777" w:rsidR="003248BB" w:rsidRPr="00150F13" w:rsidRDefault="003248BB" w:rsidP="003248BB">
      <w:pPr>
        <w:ind w:left="360"/>
        <w:rPr>
          <w:rFonts w:eastAsia="Times New Roman" w:cs="Arial"/>
          <w:sz w:val="22"/>
          <w:szCs w:val="22"/>
        </w:rPr>
      </w:pPr>
    </w:p>
    <w:p w14:paraId="38EDB9BB" w14:textId="77777777" w:rsidR="003248BB" w:rsidRPr="00150F13" w:rsidRDefault="003248BB" w:rsidP="003248BB">
      <w:pPr>
        <w:numPr>
          <w:ilvl w:val="0"/>
          <w:numId w:val="1"/>
        </w:numPr>
        <w:ind w:left="360"/>
        <w:rPr>
          <w:rFonts w:eastAsia="Times New Roman" w:cs="Arial"/>
          <w:sz w:val="22"/>
          <w:szCs w:val="22"/>
        </w:rPr>
      </w:pPr>
      <w:r w:rsidRPr="00150F13">
        <w:rPr>
          <w:rFonts w:eastAsia="Times New Roman" w:cs="Arial"/>
          <w:sz w:val="22"/>
          <w:szCs w:val="22"/>
        </w:rPr>
        <w:t>How long would the programme be?</w:t>
      </w:r>
    </w:p>
    <w:p w14:paraId="71E991FA" w14:textId="08E3CC78" w:rsidR="00933394" w:rsidRPr="00150F13" w:rsidRDefault="00150F13" w:rsidP="00150F13">
      <w:pPr>
        <w:ind w:left="360"/>
        <w:rPr>
          <w:i/>
          <w:sz w:val="22"/>
          <w:szCs w:val="22"/>
        </w:rPr>
      </w:pPr>
      <w:r w:rsidRPr="00150F13">
        <w:rPr>
          <w:rFonts w:cs="Arial"/>
          <w:i/>
          <w:sz w:val="22"/>
          <w:szCs w:val="22"/>
        </w:rPr>
        <w:t>A: See accompanying briefing slides for further details.</w:t>
      </w:r>
    </w:p>
    <w:p w14:paraId="2892296B" w14:textId="77777777" w:rsidR="00933394" w:rsidRDefault="00933394" w:rsidP="00933394"/>
    <w:p w14:paraId="0A4BC29E" w14:textId="77777777" w:rsidR="00933394" w:rsidRPr="00DA527C" w:rsidRDefault="00933394" w:rsidP="00DA527C"/>
    <w:sectPr w:rsidR="00933394" w:rsidRPr="00DA527C" w:rsidSect="00933394">
      <w:footerReference w:type="even" r:id="rId11"/>
      <w:footerReference w:type="default" r:id="rId12"/>
      <w:headerReference w:type="first" r:id="rId13"/>
      <w:footerReference w:type="first" r:id="rId14"/>
      <w:type w:val="continuous"/>
      <w:pgSz w:w="11900" w:h="1684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42C13" w14:textId="77777777" w:rsidR="001B7D40" w:rsidRDefault="001B7D40" w:rsidP="00AC72FD">
      <w:r>
        <w:separator/>
      </w:r>
    </w:p>
  </w:endnote>
  <w:endnote w:type="continuationSeparator" w:id="0">
    <w:p w14:paraId="7E1CEB6D" w14:textId="77777777" w:rsidR="001B7D40" w:rsidRDefault="001B7D40"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E82A7"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86EF69"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7C996" w14:textId="77777777" w:rsidR="00ED2809" w:rsidRPr="0091039C" w:rsidRDefault="00ED2809" w:rsidP="009D32F5">
    <w:pPr>
      <w:pStyle w:val="Footer"/>
      <w:framePr w:wrap="around" w:vAnchor="text" w:hAnchor="margin" w:xAlign="center" w:y="1"/>
      <w:jc w:val="right"/>
      <w:rPr>
        <w:rStyle w:val="PageNumber"/>
        <w:color w:val="7F7F7F" w:themeColor="text1" w:themeTint="80"/>
      </w:rPr>
    </w:pPr>
    <w:r w:rsidRPr="0091039C">
      <w:rPr>
        <w:rStyle w:val="PageNumber"/>
        <w:color w:val="7F7F7F" w:themeColor="text1" w:themeTint="80"/>
      </w:rPr>
      <w:fldChar w:fldCharType="begin"/>
    </w:r>
    <w:r w:rsidRPr="0091039C">
      <w:rPr>
        <w:rStyle w:val="PageNumber"/>
        <w:color w:val="7F7F7F" w:themeColor="text1" w:themeTint="80"/>
      </w:rPr>
      <w:instrText xml:space="preserve">PAGE  </w:instrText>
    </w:r>
    <w:r w:rsidRPr="0091039C">
      <w:rPr>
        <w:rStyle w:val="PageNumber"/>
        <w:color w:val="7F7F7F" w:themeColor="text1" w:themeTint="80"/>
      </w:rPr>
      <w:fldChar w:fldCharType="separate"/>
    </w:r>
    <w:r w:rsidR="00933394">
      <w:rPr>
        <w:rStyle w:val="PageNumber"/>
        <w:noProof/>
        <w:color w:val="7F7F7F" w:themeColor="text1" w:themeTint="80"/>
      </w:rPr>
      <w:t>2</w:t>
    </w:r>
    <w:r w:rsidRPr="0091039C">
      <w:rPr>
        <w:rStyle w:val="PageNumber"/>
        <w:color w:val="7F7F7F" w:themeColor="text1" w:themeTint="80"/>
      </w:rPr>
      <w:fldChar w:fldCharType="end"/>
    </w:r>
  </w:p>
  <w:p w14:paraId="244D75CE" w14:textId="77777777" w:rsidR="00ED2809" w:rsidRDefault="00ED2809" w:rsidP="007F2CB8">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6962576"/>
      <w:docPartObj>
        <w:docPartGallery w:val="Page Numbers (Bottom of Page)"/>
        <w:docPartUnique/>
      </w:docPartObj>
    </w:sdtPr>
    <w:sdtEndPr>
      <w:rPr>
        <w:noProof/>
      </w:rPr>
    </w:sdtEndPr>
    <w:sdtContent>
      <w:p w14:paraId="66A3EC70" w14:textId="0CA19E8B" w:rsidR="001F6090" w:rsidRDefault="001F60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8648CF" w14:textId="77777777" w:rsidR="001F6090" w:rsidRDefault="001F6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A47AA" w14:textId="77777777" w:rsidR="001B7D40" w:rsidRDefault="001B7D40" w:rsidP="00AC72FD">
      <w:r>
        <w:separator/>
      </w:r>
    </w:p>
  </w:footnote>
  <w:footnote w:type="continuationSeparator" w:id="0">
    <w:p w14:paraId="7F491B6C" w14:textId="77777777" w:rsidR="001B7D40" w:rsidRDefault="001B7D40"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67FEF" w14:textId="77777777" w:rsidR="00ED2809" w:rsidRDefault="00ED2809">
    <w:pPr>
      <w:pStyle w:val="Header"/>
    </w:pPr>
    <w:r>
      <w:rPr>
        <w:noProof/>
        <w:lang w:eastAsia="en-GB"/>
      </w:rPr>
      <w:drawing>
        <wp:anchor distT="0" distB="0" distL="114300" distR="114300" simplePos="0" relativeHeight="251659264" behindDoc="0" locked="0" layoutInCell="1" allowOverlap="0" wp14:anchorId="11C71C63" wp14:editId="1E98B90A">
          <wp:simplePos x="0" y="0"/>
          <wp:positionH relativeFrom="page">
            <wp:posOffset>4360545</wp:posOffset>
          </wp:positionH>
          <wp:positionV relativeFrom="page">
            <wp:posOffset>314325</wp:posOffset>
          </wp:positionV>
          <wp:extent cx="2788920" cy="6521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logo_cropped.jpg"/>
                  <pic:cNvPicPr/>
                </pic:nvPicPr>
                <pic:blipFill>
                  <a:blip r:embed="rId1">
                    <a:extLst>
                      <a:ext uri="{28A0092B-C50C-407E-A947-70E740481C1C}">
                        <a14:useLocalDpi xmlns:a14="http://schemas.microsoft.com/office/drawing/2010/main" val="0"/>
                      </a:ext>
                    </a:extLst>
                  </a:blip>
                  <a:stretch>
                    <a:fillRect/>
                  </a:stretch>
                </pic:blipFill>
                <pic:spPr>
                  <a:xfrm>
                    <a:off x="0" y="0"/>
                    <a:ext cx="2788920" cy="6521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FB1CAD"/>
    <w:multiLevelType w:val="hybridMultilevel"/>
    <w:tmpl w:val="B480155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248BB"/>
    <w:rsid w:val="0005545E"/>
    <w:rsid w:val="000903E7"/>
    <w:rsid w:val="00150F13"/>
    <w:rsid w:val="00184133"/>
    <w:rsid w:val="001B7D40"/>
    <w:rsid w:val="001D4F3A"/>
    <w:rsid w:val="001F6090"/>
    <w:rsid w:val="0025038D"/>
    <w:rsid w:val="002D6889"/>
    <w:rsid w:val="002E49BA"/>
    <w:rsid w:val="003248BB"/>
    <w:rsid w:val="003A4BC1"/>
    <w:rsid w:val="003D7368"/>
    <w:rsid w:val="004A4A07"/>
    <w:rsid w:val="00775A48"/>
    <w:rsid w:val="007F2CB8"/>
    <w:rsid w:val="00832F64"/>
    <w:rsid w:val="00861C74"/>
    <w:rsid w:val="00906015"/>
    <w:rsid w:val="0091039C"/>
    <w:rsid w:val="00933394"/>
    <w:rsid w:val="009C6874"/>
    <w:rsid w:val="009D32F5"/>
    <w:rsid w:val="009E2641"/>
    <w:rsid w:val="00A030ED"/>
    <w:rsid w:val="00A41F17"/>
    <w:rsid w:val="00A76867"/>
    <w:rsid w:val="00AC1293"/>
    <w:rsid w:val="00AC72FD"/>
    <w:rsid w:val="00AD3004"/>
    <w:rsid w:val="00B44DC5"/>
    <w:rsid w:val="00C73684"/>
    <w:rsid w:val="00CA7EEA"/>
    <w:rsid w:val="00DA527C"/>
    <w:rsid w:val="00DF6A80"/>
    <w:rsid w:val="00E0774A"/>
    <w:rsid w:val="00ED2809"/>
    <w:rsid w:val="00F5593D"/>
    <w:rsid w:val="00FD4B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B324A59"/>
  <w14:defaultImageDpi w14:val="300"/>
  <w15:docId w15:val="{02C054D2-5547-4FE5-9AB3-BEC5B9A3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2E49BA"/>
    <w:pPr>
      <w:keepNext/>
      <w:keepLines/>
      <w:spacing w:before="400" w:after="100" w:afterAutospacing="1"/>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2E49BA"/>
    <w:pPr>
      <w:keepNext/>
      <w:keepLines/>
      <w:spacing w:after="100" w:afterAutospacing="1"/>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2E49BA"/>
    <w:rPr>
      <w:rFonts w:eastAsiaTheme="majorEastAsia" w:cs="Arial"/>
      <w:b/>
      <w:bCs/>
      <w:color w:val="A00054"/>
      <w:sz w:val="40"/>
      <w:szCs w:val="40"/>
    </w:rPr>
  </w:style>
  <w:style w:type="character" w:customStyle="1" w:styleId="Heading2Char">
    <w:name w:val="Heading 2 Char"/>
    <w:basedOn w:val="DefaultParagraphFont"/>
    <w:link w:val="Heading2"/>
    <w:uiPriority w:val="9"/>
    <w:rsid w:val="002E49BA"/>
    <w:rPr>
      <w:rFonts w:eastAsiaTheme="majorEastAsia" w:cstheme="majorBidi"/>
      <w:b/>
      <w:bCs/>
      <w:color w:val="00389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qFormat/>
    <w:rsid w:val="002E49BA"/>
    <w:pPr>
      <w:spacing w:after="100" w:afterAutospacing="1"/>
    </w:pPr>
    <w:rPr>
      <w:color w:val="A00054"/>
      <w:sz w:val="28"/>
      <w:szCs w:val="28"/>
    </w:rPr>
  </w:style>
  <w:style w:type="paragraph" w:customStyle="1" w:styleId="Reportcovertitle">
    <w:name w:val="Report cover title"/>
    <w:basedOn w:val="Normal"/>
    <w:qFormat/>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paragraph" w:styleId="ListParagraph">
    <w:name w:val="List Paragraph"/>
    <w:basedOn w:val="Normal"/>
    <w:uiPriority w:val="34"/>
    <w:qFormat/>
    <w:rsid w:val="003248BB"/>
    <w:pPr>
      <w:spacing w:after="160" w:line="259" w:lineRule="auto"/>
      <w:ind w:left="720"/>
      <w:contextualSpacing/>
    </w:pPr>
    <w:rPr>
      <w:rFonts w:ascii="Calibri" w:eastAsia="Calibri" w:hAnsi="Calibri" w:cs="Calibri"/>
      <w:color w:val="00000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Packages\Microsoft.MicrosoftEdge_8wekyb3d8bbwe\TempState\Downloads\Word+document+template+plain+HEE+branded+document+(2)%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457A0DA285AB45838BC798659699B9" ma:contentTypeVersion="7" ma:contentTypeDescription="Create a new document." ma:contentTypeScope="" ma:versionID="f7ab21394e85f4d0134ac583f867a84b">
  <xsd:schema xmlns:xsd="http://www.w3.org/2001/XMLSchema" xmlns:xs="http://www.w3.org/2001/XMLSchema" xmlns:p="http://schemas.microsoft.com/office/2006/metadata/properties" xmlns:ns3="213edf59-dd5f-4aa5-8b8e-25b93adf1ef6" xmlns:ns4="e013ad32-6b8e-4fc8-9ad7-dd022a247375" targetNamespace="http://schemas.microsoft.com/office/2006/metadata/properties" ma:root="true" ma:fieldsID="3eebe14988e229ca7547485ae3212954" ns3:_="" ns4:_="">
    <xsd:import namespace="213edf59-dd5f-4aa5-8b8e-25b93adf1ef6"/>
    <xsd:import namespace="e013ad32-6b8e-4fc8-9ad7-dd022a24737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edf59-dd5f-4aa5-8b8e-25b93adf1e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13ad32-6b8e-4fc8-9ad7-dd022a2473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C2E11-12E7-4BD9-B960-368C9893D78B}">
  <ds:schemaRefs>
    <ds:schemaRef ds:uri="http://purl.org/dc/terms/"/>
    <ds:schemaRef ds:uri="e013ad32-6b8e-4fc8-9ad7-dd022a24737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13edf59-dd5f-4aa5-8b8e-25b93adf1ef6"/>
    <ds:schemaRef ds:uri="http://www.w3.org/XML/1998/namespace"/>
    <ds:schemaRef ds:uri="http://purl.org/dc/dcmitype/"/>
  </ds:schemaRefs>
</ds:datastoreItem>
</file>

<file path=customXml/itemProps2.xml><?xml version="1.0" encoding="utf-8"?>
<ds:datastoreItem xmlns:ds="http://schemas.openxmlformats.org/officeDocument/2006/customXml" ds:itemID="{6BC340C2-BB07-41E4-A440-F3A4B7E3D62A}">
  <ds:schemaRefs>
    <ds:schemaRef ds:uri="http://schemas.microsoft.com/sharepoint/v3/contenttype/forms"/>
  </ds:schemaRefs>
</ds:datastoreItem>
</file>

<file path=customXml/itemProps3.xml><?xml version="1.0" encoding="utf-8"?>
<ds:datastoreItem xmlns:ds="http://schemas.openxmlformats.org/officeDocument/2006/customXml" ds:itemID="{6A53BF72-57B5-4E5C-AF51-F3CE5BA0F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edf59-dd5f-4aa5-8b8e-25b93adf1ef6"/>
    <ds:schemaRef ds:uri="e013ad32-6b8e-4fc8-9ad7-dd022a247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26F520-3734-4DBC-A09A-1643D61C5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Word+document+template+plain+HEE+branded+document+(2) (1)</Template>
  <TotalTime>3</TotalTime>
  <Pages>2</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Vongai Karimazondo</cp:lastModifiedBy>
  <cp:revision>6</cp:revision>
  <dcterms:created xsi:type="dcterms:W3CDTF">2020-09-16T10:50:00Z</dcterms:created>
  <dcterms:modified xsi:type="dcterms:W3CDTF">2020-09-16T10:53:00Z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0x01010087457A0DA285AB45838BC798659699B9</vt:lpwstr>
  </property>
</Properties>
</file>